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te-earnings-predictions--2026-08-05"/>
    <w:p>
      <w:pPr>
        <w:pStyle w:val="Heading1"/>
      </w:pPr>
      <w:r>
        <w:t xml:space="preserve">STE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(Q1 FY27)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~$2.56 vs. cons $2.52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(Q1 FY27)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~$1.50B vs. cons $1.51B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AST constant-currency organic growth (Q1 FY27)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~+4% vs. cons ~+6.5%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11.10</m:t>
              </m:r>
              <m:r>
                <m:rPr>
                  <m:sty m:val="p"/>
                </m:rPr>
                <m:t>−</m:t>
              </m:r>
            </m:oMath>
            <w:r>
              <w:t xml:space="preserve">11.30 (mid ~</w:t>
            </w:r>
            <m:oMath>
              <m:r>
                <m:t>11.20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11.20 (FY2027)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constant-currency organic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~+6-7% (mid ~6.5%) vs. cons ~+6.5%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as-reported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~+7-8% (mid ~7.5%) vs. cons ~+7.5%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(FADE)</w:t>
            </w:r>
          </w:p>
        </w:tc>
        <w:tc>
          <w:tcPr/>
          <w:p>
            <w:pPr>
              <w:pStyle w:val="Compact"/>
            </w:pPr>
            <w:r>
              <w:t xml:space="preserve">STE enters the print up ~10% idiosyncratically in late July (SPY flat), re-rating expectations into a quarter management itself framed as a soft, back-half-weighted start. Likely outcome is a modest EPS beat but decelerating headline/AST organic growth against tough comps (AST +13%/Healthcare service +13% last Q1), higher ~25% tax rate compressing conversion, and lighter FCF. A 'beat-and-reaffirm' (not raise) early in the fiscal year gives the tape little new to chase; out-period math (soft H1, dependence on unproven H2 AST reacceleration and med-tech destocking bottoming) invites near-term estimate trimming even after a beat, so the run-up fades toward pre-rally levels absent a confident H2 message.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2026-08-05T01:41:12Z</dcterms:created>
  <dcterms:modified xsi:type="dcterms:W3CDTF">2026-08-05T01:41:12Z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