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e-earnings-predictions--2026-08-05"/>
    <w:p>
      <w:pPr>
        <w:pStyle w:val="Heading1"/>
      </w:pPr>
      <w:r>
        <w:t xml:space="preserve">STE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 vs. cons $2.49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(FQ1 FY27)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~$1.49B vs. cons $1.495B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AST segment constant-currency organic revenue growth (FQ1 FY27)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~3% vs. cons/implied ~6%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guidance (reaffirm/raise)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11.10</m:t>
              </m:r>
              <m:r>
                <m:rPr>
                  <m:sty m:val="p"/>
                </m:rPr>
                <m:t>−</m:t>
              </m:r>
            </m:oMath>
            <w:r>
              <w:t xml:space="preserve">11.30 (mid $11.20) vs. cons $11.20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As-reported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~7-8% vs. cons ~7.5%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AST constant-currency organic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~7-8% full year (soft 1H, stronger 2H) vs. cons ~7%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EBIT 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~+50bps vs. cons ~+45-50bps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Share repurchase run-rate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rPr>
                  <m:sty m:val="p"/>
                </m:rPr>
                <m:t>−</m:t>
              </m:r>
              <m:r>
                <m:t>300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y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a</m:t>
              </m:r>
              <m:r>
                <m:t>c</m:t>
              </m:r>
              <m:r>
                <m:t>t</m:t>
              </m:r>
              <m:r>
                <m:t>u</m:t>
              </m:r>
              <m:r>
                <m:t>a</m:t>
              </m:r>
              <m:r>
                <m:t>l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 </m:t>
              </m:r>
            </m:oMath>
            <w:r>
              <w:t xml:space="preserve">130M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Base case is a modest EPS beat (Q1 bar set low/conservative, especially on AST) with full-year FY27 guidance simply reaffirmed rather than raised — a 'beat-and-reaffirm' that should produce a small positive pop given how much AST-destocking/tariff pessimism is already in the stock after the June low and the July 28 dividend/buyback-driven re-rate. But because management explicitly front-loaded caution into 1H (AST guided soft in Q1/Q2, needing a 'significantly improving Q3' and 'pretty easy Q4 comps' to hit the 7-8% full-year AST target), any Q1 AST organic print near the low single digits forces analysts to model a steeper 2H AST ramp to keep FY27 numbers intact. That out-period math (higher implied H2 AST growth requirement, tax-rate step-up to ~25%, and no visible raise to the</w:t>
            </w:r>
            <w:r>
              <w:t xml:space="preserve"> </w:t>
            </w:r>
            <m:oMath>
              <m:r>
                <m:t>11.10</m:t>
              </m:r>
              <m:r>
                <m:rPr>
                  <m:sty m:val="p"/>
                </m:rPr>
                <m:t>−</m:t>
              </m:r>
            </m:oMath>
            <w:r>
              <w:t xml:space="preserve">11.30 EPS range despite the Q1 beat) tends to get partially unwound over the following days as sell-side notes flag the back-half-loaded risk, producing a fade rather than a durable follow-through, even though a clean beat keeps the drawdown modest versus the initial reaction.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2026-08-05T01:45:50Z</dcterms:created>
  <dcterms:modified xsi:type="dcterms:W3CDTF">2026-08-05T01:45:50Z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