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53aa076013cc4c645d3bf3386ac8a0964e5aac8"/>
    <w:p>
      <w:pPr>
        <w:pStyle w:val="Heading1"/>
      </w:pPr>
      <w:r>
        <w:t xml:space="preserve">STERIS (NYSE: STE) Fiscal Q1 2027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STERIS will release fiscal first-quarter results</w:t>
      </w:r>
      <w:r>
        <w:t xml:space="preserve"> </w:t>
      </w:r>
      <w:r>
        <w:rPr>
          <w:b/>
          <w:bCs/>
        </w:rPr>
        <w:t xml:space="preserve">after the U.S. market closes today, August 5, 2026</w:t>
      </w:r>
      <w:r>
        <w:t xml:space="preserve">. The earnings call is scheduled for</w:t>
      </w:r>
      <w:r>
        <w:t xml:space="preserve"> </w:t>
      </w:r>
      <w:r>
        <w:rPr>
          <w:b/>
          <w:bCs/>
        </w:rPr>
        <w:t xml:space="preserve">9:00 a.m. ET on August 6, 2026</w:t>
      </w:r>
      <w:r>
        <w:t xml:space="preserve">. (</w:t>
      </w:r>
      <w:hyperlink r:id="rId9">
        <w:r>
          <w:rPr>
            <w:rStyle w:val="Hyperlink"/>
          </w:rPr>
          <w:t xml:space="preserve">fidelity.com</w:t>
        </w:r>
      </w:hyperlink>
      <w:r>
        <w:t xml:space="preserve">)</w:t>
      </w:r>
    </w:p>
    <w:bookmarkStart w:id="12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The central question is not whether STERIS can produce another quarter of mid- to high-single-digit organic growth. It is whether the company can</w:t>
      </w:r>
      <w:r>
        <w:t xml:space="preserve"> </w:t>
      </w:r>
      <w:r>
        <w:rPr>
          <w:b/>
          <w:bCs/>
        </w:rPr>
        <w:t xml:space="preserve">protect margins while Applied Sterilization Technologies (“AST”) works through tougher comparisons and customer inventory adjustments</w:t>
      </w:r>
      <w:r>
        <w:t xml:space="preserve">.</w:t>
      </w:r>
    </w:p>
    <w:p>
      <w:pPr>
        <w:pStyle w:val="BodyText"/>
      </w:pPr>
      <w:r>
        <w:t xml:space="preserve">STERIS entered fiscal 2027 guiding to: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7%–8% reported revenue growth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6%–7% constant-currency organic growth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Adjusted EPS of</w:t>
      </w:r>
      <w:r>
        <w:rPr>
          <w:b/>
          <w:bCs/>
        </w:rPr>
        <w:t xml:space="preserve"> </w:t>
      </w:r>
      <m:oMath>
        <m:r>
          <m:t>11.10</m:t>
        </m:r>
        <m:r>
          <m:rPr>
            <m:sty m:val="p"/>
          </m:rPr>
          <m:t>–</m:t>
        </m:r>
      </m:oMath>
      <w:r>
        <w:rPr>
          <w:b/>
          <w:bCs/>
        </w:rPr>
        <w:t xml:space="preserve">11.30</w:t>
      </w:r>
      <w:r>
        <w:t xml:space="preserve">, up 9%–11%</w:t>
      </w:r>
    </w:p>
    <w:p>
      <w:pPr>
        <w:pStyle w:val="Compact"/>
        <w:numPr>
          <w:ilvl w:val="0"/>
          <w:numId w:val="1001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50 basis points of EBIT-margin expansion</w:t>
      </w:r>
      <w:r>
        <w:t xml:space="preserve"> </w:t>
      </w:r>
      <w:r>
        <w:t xml:space="preserve">at the high end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$850 million of free cash flow</w:t>
      </w:r>
    </w:p>
    <w:p>
      <w:pPr>
        <w:pStyle w:val="Compact"/>
        <w:numPr>
          <w:ilvl w:val="0"/>
          <w:numId w:val="1001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$375 million of capital expenditures</w:t>
      </w:r>
      <w:r>
        <w:t xml:space="preserve"> </w:t>
      </w:r>
      <w:r>
        <w:t xml:space="preserve">(</w:t>
      </w:r>
      <w:hyperlink r:id="rId10">
        <w:r>
          <w:rPr>
            <w:rStyle w:val="Hyperlink"/>
          </w:rPr>
          <w:t xml:space="preserve">sterisplc.gcs-web.com</w:t>
        </w:r>
      </w:hyperlink>
      <w:r>
        <w:t xml:space="preserve">)</w:t>
      </w:r>
    </w:p>
    <w:p>
      <w:pPr>
        <w:pStyle w:val="FirstParagraph"/>
      </w:pPr>
      <w:r>
        <w:t xml:space="preserve">That outlook looks achievable, but expectations have risen. STE traded around</w:t>
      </w:r>
      <w:r>
        <w:t xml:space="preserve"> </w:t>
      </w:r>
      <w:r>
        <w:rPr>
          <w:b/>
          <w:bCs/>
        </w:rPr>
        <w:t xml:space="preserve">$233 immediately before the report</w:t>
      </w:r>
      <w:r>
        <w:t xml:space="preserve">, equivalent to roughly **20.8 times the</w:t>
      </w:r>
      <w:r>
        <w:t xml:space="preserve"> </w:t>
      </w:r>
      <m:oMath>
        <m:r>
          <m:t>11.20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rPr>
            <m:sty m:val="p"/>
          </m:rPr>
          <m:t>’</m:t>
        </m:r>
        <m:r>
          <m:t>s</m:t>
        </m:r>
        <m:r>
          <m:t>F</m:t>
        </m:r>
        <m:r>
          <m:t>Y</m:t>
        </m:r>
        <m:r>
          <m:t>2027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rPr>
            <m:sty m:val="p"/>
          </m:rPr>
          <m:t>−</m:t>
        </m:r>
        <m:r>
          <m:t>E</m:t>
        </m:r>
        <m:r>
          <m:t>P</m:t>
        </m:r>
        <m:r>
          <m:t>S</m:t>
        </m:r>
        <m:r>
          <m:t>g</m:t>
        </m:r>
        <m:r>
          <m:t>u</m:t>
        </m:r>
        <m:r>
          <m:t>i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h</m:t>
        </m:r>
        <m:r>
          <m:t>a</m:t>
        </m:r>
        <m:r>
          <m:t>s</m:t>
        </m:r>
        <m:r>
          <m:t>a</m:t>
        </m:r>
        <m:r>
          <m:t>l</m:t>
        </m:r>
        <m:r>
          <m:t>s</m:t>
        </m:r>
        <m:r>
          <m:t>o</m:t>
        </m:r>
        <m:r>
          <m:t>r</m:t>
        </m:r>
        <m:r>
          <m:t>e</m:t>
        </m:r>
        <m:r>
          <m:t>c</m:t>
        </m:r>
        <m:r>
          <m:t>o</m:t>
        </m:r>
        <m:r>
          <m:t>v</m:t>
        </m:r>
        <m:r>
          <m:t>e</m:t>
        </m:r>
        <m:r>
          <m:t>r</m:t>
        </m:r>
        <m:r>
          <m:t>e</m:t>
        </m:r>
        <m:r>
          <m:t>d</m:t>
        </m:r>
        <m:r>
          <m:t>s</m:t>
        </m:r>
        <m:r>
          <m:t>u</m:t>
        </m:r>
        <m:r>
          <m:t>b</m:t>
        </m:r>
        <m:r>
          <m:t>s</m:t>
        </m:r>
        <m:r>
          <m:t>t</m:t>
        </m:r>
        <m:r>
          <m:t>a</m:t>
        </m:r>
        <m:r>
          <m:t>n</m:t>
        </m:r>
        <m:r>
          <m:t>t</m:t>
        </m:r>
        <m:r>
          <m:t>i</m:t>
        </m:r>
        <m:r>
          <m:t>a</m:t>
        </m:r>
        <m:r>
          <m:t>l</m:t>
        </m:r>
        <m:r>
          <m:t>l</m:t>
        </m:r>
        <m:r>
          <m:t>y</m:t>
        </m:r>
        <m:r>
          <m:t>f</m:t>
        </m:r>
        <m:r>
          <m:t>r</m:t>
        </m:r>
        <m:r>
          <m:t>o</m:t>
        </m:r>
        <m:r>
          <m:t>m</m:t>
        </m:r>
        <m:r>
          <m:t>t</m:t>
        </m:r>
        <m:r>
          <m:t>h</m:t>
        </m:r>
        <m:r>
          <m:t>e</m:t>
        </m:r>
        <m:r>
          <m:t>l</m:t>
        </m:r>
        <m:r>
          <m:t>o</m:t>
        </m:r>
        <m:r>
          <m:t>w</m:t>
        </m:r>
        <m:r>
          <m:rPr>
            <m:sty m:val="p"/>
          </m:rPr>
          <m:t>−</m:t>
        </m:r>
      </m:oMath>
      <w:r>
        <w:t xml:space="preserve">200s around the May earnings report. (</w:t>
      </w:r>
      <w:hyperlink r:id="rId11">
        <w:r>
          <w:rPr>
            <w:rStyle w:val="Hyperlink"/>
          </w:rPr>
          <w:t xml:space="preserve">marketbeat.com</w:t>
        </w:r>
      </w:hyperlink>
      <w:r>
        <w:t xml:space="preserve">)</w:t>
      </w:r>
    </w:p>
    <w:p>
      <w:pPr>
        <w:pStyle w:val="BodyText"/>
      </w:pPr>
      <w:r>
        <w:t xml:space="preserve">Accordingly, a small EPS beat with an unchanged outlook may be received as merely “in line.” The more important signals will be organic growth quality, AST volumes and management’s confidence in second-half acceleration.</w:t>
      </w:r>
    </w:p>
    <w:bookmarkEnd w:id="12"/>
    <w:bookmarkStart w:id="14" w:name="what-the-market-expects"/>
    <w:p>
      <w:pPr>
        <w:pStyle w:val="Heading2"/>
      </w:pPr>
      <w:r>
        <w:t xml:space="preserve">What the market expects</w:t>
      </w:r>
    </w:p>
    <w:p>
      <w:pPr>
        <w:pStyle w:val="FirstParagraph"/>
      </w:pPr>
      <w:r>
        <w:t xml:space="preserve">Public estimate aggregators vary modestly, but expectations generally cluster around: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 expectation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Fiscal Q1 2026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1.50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1.51 billion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$1.391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2.49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2.53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Implied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9% reported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Implied adjusted-EPS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~7%–8%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15%</w:t>
            </w:r>
          </w:p>
        </w:tc>
      </w:tr>
    </w:tbl>
    <w:p>
      <w:pPr>
        <w:pStyle w:val="BodyText"/>
      </w:pPr>
      <w:r>
        <w:t xml:space="preserve">Public sources show EPS estimates between approximately $2.49 and $2.53 and revenue near $1.5 billion; these figures should be treated as a range rather than a precise institutional consensus. (</w:t>
      </w:r>
      <w:hyperlink r:id="rId11">
        <w:r>
          <w:rPr>
            <w:rStyle w:val="Hyperlink"/>
          </w:rPr>
          <w:t xml:space="preserve">marketbeat.com</w:t>
        </w:r>
      </w:hyperlink>
      <w:r>
        <w:t xml:space="preserve">)</w:t>
      </w:r>
    </w:p>
    <w:p>
      <w:pPr>
        <w:pStyle w:val="BodyText"/>
      </w:pPr>
      <w:r>
        <w:t xml:space="preserve">The prior-year comparison is not easy. Fiscal Q1 2026 delivered 8% constant-currency organic growth, including</w:t>
      </w:r>
      <w:r>
        <w:t xml:space="preserve"> </w:t>
      </w:r>
      <w:r>
        <w:rPr>
          <w:b/>
          <w:bCs/>
        </w:rPr>
        <w:t xml:space="preserve">8% in Healthcare, 10% in AST and 4% in Life Sciences</w:t>
      </w:r>
      <w:r>
        <w:t xml:space="preserve">. (</w:t>
      </w:r>
      <w:hyperlink r:id="rId13">
        <w:r>
          <w:rPr>
            <w:rStyle w:val="Hyperlink"/>
          </w:rPr>
          <w:t xml:space="preserve">sterisplc.gcs-web.com</w:t>
        </w:r>
      </w:hyperlink>
      <w:r>
        <w:t xml:space="preserve">)</w:t>
      </w:r>
    </w:p>
    <w:bookmarkEnd w:id="14"/>
    <w:bookmarkStart w:id="22" w:name="the-five-issues-that-matter-most"/>
    <w:p>
      <w:pPr>
        <w:pStyle w:val="Heading2"/>
      </w:pPr>
      <w:r>
        <w:t xml:space="preserve">The five issues that matter most</w:t>
      </w:r>
    </w:p>
    <w:bookmarkStart w:id="16" w:name="X1d2667f05241d2d85171a9c09a10cb4abed4254"/>
    <w:p>
      <w:pPr>
        <w:pStyle w:val="Heading3"/>
      </w:pPr>
      <w:r>
        <w:t xml:space="preserve">1. AST is the principal swing factor</w:t>
      </w:r>
    </w:p>
    <w:p>
      <w:pPr>
        <w:pStyle w:val="FirstParagraph"/>
      </w:pPr>
      <w:r>
        <w:t xml:space="preserve">AST is STERIS’s highest-margin segment and therefore has an outsized effect on earnings. But it enters the quarter facing:</w:t>
      </w:r>
    </w:p>
    <w:p>
      <w:pPr>
        <w:pStyle w:val="Compact"/>
        <w:numPr>
          <w:ilvl w:val="0"/>
          <w:numId w:val="1002"/>
        </w:numPr>
      </w:pPr>
      <w:r>
        <w:t xml:space="preserve">A difficult comparison against 10% organic growth last year.</w:t>
      </w:r>
    </w:p>
    <w:p>
      <w:pPr>
        <w:pStyle w:val="Compact"/>
        <w:numPr>
          <w:ilvl w:val="0"/>
          <w:numId w:val="1002"/>
        </w:numPr>
      </w:pPr>
      <w:r>
        <w:t xml:space="preserve">Recent inventory reductions among medtech customers.</w:t>
      </w:r>
    </w:p>
    <w:p>
      <w:pPr>
        <w:pStyle w:val="Compact"/>
        <w:numPr>
          <w:ilvl w:val="0"/>
          <w:numId w:val="1002"/>
        </w:numPr>
      </w:pPr>
      <w:r>
        <w:t xml:space="preserve">Less robust procedure volumes outside the United States.</w:t>
      </w:r>
    </w:p>
    <w:p>
      <w:pPr>
        <w:pStyle w:val="Compact"/>
        <w:numPr>
          <w:ilvl w:val="0"/>
          <w:numId w:val="1002"/>
        </w:numPr>
      </w:pPr>
      <w:r>
        <w:t xml:space="preserve">Management’s explicit expectation that AST would start fiscal 2027 more slowly before improving meaningfully in the second half.</w:t>
      </w:r>
    </w:p>
    <w:p>
      <w:pPr>
        <w:pStyle w:val="FirstParagraph"/>
      </w:pPr>
      <w:r>
        <w:t xml:space="preserve">STERIS has guided AST to</w:t>
      </w:r>
      <w:r>
        <w:t xml:space="preserve"> </w:t>
      </w:r>
      <w:r>
        <w:rPr>
          <w:b/>
          <w:bCs/>
        </w:rPr>
        <w:t xml:space="preserve">7%–8% organic growth for the full year</w:t>
      </w:r>
      <w:r>
        <w:t xml:space="preserve">, but management previously described an expected cadence of slower growth in the first half, followed by acceleration in Q3 and easier comparisons in Q4. (</w:t>
      </w:r>
      <w:hyperlink r:id="rId15">
        <w:r>
          <w:rPr>
            <w:rStyle w:val="Hyperlink"/>
          </w:rPr>
          <w:t xml:space="preserve">investing.com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What would be encouraging:</w:t>
      </w:r>
      <w:r>
        <w:t xml:space="preserve"> </w:t>
      </w:r>
      <w:r>
        <w:t xml:space="preserve">AST service growth in the mid- to high-single digits, stable pricing and commentary that customer inventory reductions are ending.</w:t>
      </w:r>
    </w:p>
    <w:p>
      <w:pPr>
        <w:pStyle w:val="BodyText"/>
      </w:pPr>
      <w:r>
        <w:rPr>
          <w:b/>
          <w:bCs/>
        </w:rPr>
        <w:t xml:space="preserve">What would be concerning:</w:t>
      </w:r>
      <w:r>
        <w:t xml:space="preserve"> </w:t>
      </w:r>
      <w:r>
        <w:t xml:space="preserve">Low-single-digit or negative service-volume growth accompanied by a less confident second-half recovery narrative. Because AST has segment margins above 40%, weakness here would be more consequential than an equivalent revenue miss elsewhere.</w:t>
      </w:r>
    </w:p>
    <w:bookmarkEnd w:id="16"/>
    <w:bookmarkStart w:id="17" w:name="Xc0a7d98f0a7b13ed96173cd377fa0a02fd0406b"/>
    <w:p>
      <w:pPr>
        <w:pStyle w:val="Heading3"/>
      </w:pPr>
      <w:r>
        <w:t xml:space="preserve">2. Healthcare should remain the stabilizer</w:t>
      </w:r>
    </w:p>
    <w:p>
      <w:pPr>
        <w:pStyle w:val="FirstParagraph"/>
      </w:pPr>
      <w:r>
        <w:t xml:space="preserve">Healthcare represents approximately 70% of company revenue and is supported by recurring service and consumables demand tied to procedure volumes. The business finished fiscal 2026 with:</w:t>
      </w:r>
    </w:p>
    <w:p>
      <w:pPr>
        <w:pStyle w:val="Compact"/>
        <w:numPr>
          <w:ilvl w:val="0"/>
          <w:numId w:val="1003"/>
        </w:numPr>
      </w:pPr>
      <w:r>
        <w:t xml:space="preserve">12% full-year service growth.</w:t>
      </w:r>
    </w:p>
    <w:p>
      <w:pPr>
        <w:pStyle w:val="Compact"/>
        <w:numPr>
          <w:ilvl w:val="0"/>
          <w:numId w:val="1003"/>
        </w:numPr>
      </w:pPr>
      <w:r>
        <w:t xml:space="preserve">7% consumables growth.</w:t>
      </w:r>
    </w:p>
    <w:p>
      <w:pPr>
        <w:pStyle w:val="Compact"/>
        <w:numPr>
          <w:ilvl w:val="0"/>
          <w:numId w:val="1003"/>
        </w:numPr>
      </w:pPr>
      <w:r>
        <w:t xml:space="preserve">6% capital-equipment growth.</w:t>
      </w:r>
    </w:p>
    <w:p>
      <w:pPr>
        <w:pStyle w:val="Compact"/>
        <w:numPr>
          <w:ilvl w:val="0"/>
          <w:numId w:val="1003"/>
        </w:numPr>
      </w:pPr>
      <w:r>
        <w:t xml:space="preserve">Capital backlog of approximately $392 million.</w:t>
      </w:r>
    </w:p>
    <w:p>
      <w:pPr>
        <w:pStyle w:val="FirstParagraph"/>
      </w:pPr>
      <w:r>
        <w:t xml:space="preserve">The key question is whether Healthcare can sustain approximately</w:t>
      </w:r>
      <w:r>
        <w:t xml:space="preserve"> </w:t>
      </w:r>
      <w:r>
        <w:rPr>
          <w:b/>
          <w:bCs/>
        </w:rPr>
        <w:t xml:space="preserve">6%–7% organic growth</w:t>
      </w:r>
      <w:r>
        <w:t xml:space="preserve"> </w:t>
      </w:r>
      <w:r>
        <w:t xml:space="preserve">despite a somewhat tougher comparison. Investors should separate the segment’s components: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Service:</w:t>
      </w:r>
      <w:r>
        <w:t xml:space="preserve"> </w:t>
      </w:r>
      <w:r>
        <w:t xml:space="preserve">The most important recurring-growth indicator.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Consumables:</w:t>
      </w:r>
      <w:r>
        <w:t xml:space="preserve"> </w:t>
      </w:r>
      <w:r>
        <w:t xml:space="preserve">A favorable mix contributor and evidence of continued share gains.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Capital equipment:</w:t>
      </w:r>
      <w:r>
        <w:t xml:space="preserve"> </w:t>
      </w:r>
      <w:r>
        <w:t xml:space="preserve">More volatile, but useful for assessing hospital spending and future service placements.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Backlog and orders:</w:t>
      </w:r>
      <w:r>
        <w:t xml:space="preserve"> </w:t>
      </w:r>
      <w:r>
        <w:t xml:space="preserve">Particularly important after the normal fiscal fourth-quarter shipment push reduced backlog sequentially.</w:t>
      </w:r>
    </w:p>
    <w:p>
      <w:pPr>
        <w:pStyle w:val="FirstParagraph"/>
      </w:pPr>
      <w:r>
        <w:t xml:space="preserve">Two recent tuck-in acquisitions—the MEDglas supplier integration and a portfolio of GI products—are expected to add approximately</w:t>
      </w:r>
      <w:r>
        <w:t xml:space="preserve"> </w:t>
      </w:r>
      <w:r>
        <w:rPr>
          <w:b/>
          <w:bCs/>
        </w:rPr>
        <w:t xml:space="preserve">$45 million of FY2027 revenue</w:t>
      </w:r>
      <w:r>
        <w:t xml:space="preserve">, or nearly one percentage point to Healthcare’s reported growth. Investors should avoid interpreting acquisition-supported reported growth as purely organic execution.</w:t>
      </w:r>
    </w:p>
    <w:bookmarkEnd w:id="17"/>
    <w:bookmarkStart w:id="19" w:name="X563263a02eaa015b96d42b088251f0e0b36431b"/>
    <w:p>
      <w:pPr>
        <w:pStyle w:val="Heading3"/>
      </w:pPr>
      <w:r>
        <w:t xml:space="preserve">3. Margin execution matters more than the headline revenue beat</w:t>
      </w:r>
    </w:p>
    <w:p>
      <w:pPr>
        <w:pStyle w:val="FirstParagraph"/>
      </w:pPr>
      <w:r>
        <w:t xml:space="preserve">STERIS expects roughly 50 basis points of full-year EBIT-margin expansion at the top end of guidance. The major moving pieces are:</w:t>
      </w:r>
    </w:p>
    <w:p>
      <w:pPr>
        <w:pStyle w:val="BodyText"/>
      </w:pPr>
      <w:r>
        <w:rPr>
          <w:b/>
          <w:bCs/>
        </w:rPr>
        <w:t xml:space="preserve">Tailwinds</w:t>
      </w:r>
    </w:p>
    <w:p>
      <w:pPr>
        <w:pStyle w:val="Compact"/>
        <w:numPr>
          <w:ilvl w:val="0"/>
          <w:numId w:val="1005"/>
        </w:numPr>
      </w:pPr>
      <w:r>
        <w:t xml:space="preserve">Approximately 200 basis points of pricing.</w:t>
      </w:r>
    </w:p>
    <w:p>
      <w:pPr>
        <w:pStyle w:val="Compact"/>
        <w:numPr>
          <w:ilvl w:val="0"/>
          <w:numId w:val="1005"/>
        </w:numPr>
      </w:pPr>
      <w:r>
        <w:t xml:space="preserve">Productivity initiatives.</w:t>
      </w:r>
    </w:p>
    <w:p>
      <w:pPr>
        <w:pStyle w:val="Compact"/>
        <w:numPr>
          <w:ilvl w:val="0"/>
          <w:numId w:val="1005"/>
        </w:numPr>
      </w:pPr>
      <w:r>
        <w:t xml:space="preserve">More sales of higher-margin consumables.</w:t>
      </w:r>
    </w:p>
    <w:p>
      <w:pPr>
        <w:pStyle w:val="Compact"/>
        <w:numPr>
          <w:ilvl w:val="0"/>
          <w:numId w:val="1005"/>
        </w:numPr>
      </w:pPr>
      <w:r>
        <w:t xml:space="preserve">Normalization of incentive compensation following above-target FY2026 achievement.</w:t>
      </w:r>
    </w:p>
    <w:p>
      <w:pPr>
        <w:pStyle w:val="Compact"/>
        <w:numPr>
          <w:ilvl w:val="0"/>
          <w:numId w:val="1005"/>
        </w:numPr>
      </w:pPr>
      <w:r>
        <w:t xml:space="preserve">Potential operating leverage if AST volumes improve.</w:t>
      </w:r>
    </w:p>
    <w:p>
      <w:pPr>
        <w:pStyle w:val="FirstParagraph"/>
      </w:pPr>
      <w:r>
        <w:rPr>
          <w:b/>
          <w:bCs/>
        </w:rPr>
        <w:t xml:space="preserve">Headwinds</w:t>
      </w:r>
    </w:p>
    <w:p>
      <w:pPr>
        <w:pStyle w:val="Compact"/>
        <w:numPr>
          <w:ilvl w:val="0"/>
          <w:numId w:val="1006"/>
        </w:numPr>
      </w:pPr>
      <w:r>
        <w:t xml:space="preserve">Tariffs, with management budgeting roughly</w:t>
      </w:r>
      <w:r>
        <w:t xml:space="preserve"> </w:t>
      </w:r>
      <m:oMath>
        <m:r>
          <m:t>60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65 million of total FY2027 tariff expense.</w:t>
      </w:r>
    </w:p>
    <w:p>
      <w:pPr>
        <w:pStyle w:val="Compact"/>
        <w:numPr>
          <w:ilvl w:val="0"/>
          <w:numId w:val="1006"/>
        </w:numPr>
      </w:pPr>
      <w:r>
        <w:t xml:space="preserve">Freight and fuel costs.</w:t>
      </w:r>
    </w:p>
    <w:p>
      <w:pPr>
        <w:pStyle w:val="Compact"/>
        <w:numPr>
          <w:ilvl w:val="0"/>
          <w:numId w:val="1006"/>
        </w:numPr>
      </w:pPr>
      <w:r>
        <w:t xml:space="preserve">Labor and raw-material inflation.</w:t>
      </w:r>
    </w:p>
    <w:p>
      <w:pPr>
        <w:pStyle w:val="Compact"/>
        <w:numPr>
          <w:ilvl w:val="0"/>
          <w:numId w:val="1006"/>
        </w:numPr>
      </w:pPr>
      <w:r>
        <w:t xml:space="preserve">Investments in service-workflow technology and AI.</w:t>
      </w:r>
    </w:p>
    <w:p>
      <w:pPr>
        <w:pStyle w:val="Compact"/>
        <w:numPr>
          <w:ilvl w:val="0"/>
          <w:numId w:val="1006"/>
        </w:numPr>
      </w:pPr>
      <w:r>
        <w:t xml:space="preserve">A higher tax rate.</w:t>
      </w:r>
    </w:p>
    <w:p>
      <w:pPr>
        <w:pStyle w:val="FirstParagraph"/>
      </w:pPr>
      <w:r>
        <w:t xml:space="preserve">Management is assuming tariffs are approximately flat year over year and has not included tariff refunds in guidance. (</w:t>
      </w:r>
      <w:hyperlink r:id="rId18">
        <w:r>
          <w:rPr>
            <w:rStyle w:val="Hyperlink"/>
          </w:rPr>
          <w:t xml:space="preserve">fool.com</w:t>
        </w:r>
      </w:hyperlink>
      <w:r>
        <w:t xml:space="preserve">)</w:t>
      </w:r>
    </w:p>
    <w:p>
      <w:pPr>
        <w:pStyle w:val="BodyText"/>
      </w:pPr>
      <w:r>
        <w:t xml:space="preserve">A revenue beat driven by lower-margin capital equipment or acquisitions would therefore be less valuable than a smaller beat driven by AST service, Healthcare consumables and pricing. Investors should focus on</w:t>
      </w:r>
      <w:r>
        <w:t xml:space="preserve"> </w:t>
      </w:r>
      <w:r>
        <w:rPr>
          <w:b/>
          <w:bCs/>
        </w:rPr>
        <w:t xml:space="preserve">gross margin, adjusted EBIT margin and segment operating margins</w:t>
      </w:r>
      <w:r>
        <w:t xml:space="preserve">, not just consolidated sales.</w:t>
      </w:r>
    </w:p>
    <w:bookmarkEnd w:id="19"/>
    <w:bookmarkStart w:id="20" w:name="Xbecd7942f10cbe6f5b82fabcbe794ca6d47936c"/>
    <w:p>
      <w:pPr>
        <w:pStyle w:val="Heading3"/>
      </w:pPr>
      <w:r>
        <w:t xml:space="preserve">4. The tax rate could restrain EPS growth</w:t>
      </w:r>
    </w:p>
    <w:p>
      <w:pPr>
        <w:pStyle w:val="FirstParagraph"/>
      </w:pPr>
      <w:r>
        <w:t xml:space="preserve">STERIS expects an approximately</w:t>
      </w:r>
      <w:r>
        <w:t xml:space="preserve"> </w:t>
      </w:r>
      <w:r>
        <w:rPr>
          <w:b/>
          <w:bCs/>
        </w:rPr>
        <w:t xml:space="preserve">25% adjusted effective tax rate</w:t>
      </w:r>
      <w:r>
        <w:t xml:space="preserve"> </w:t>
      </w:r>
      <w:r>
        <w:t xml:space="preserve">in fiscal 2027, versus 24.4% in fiscal 2026 and 23.5% in the prior-year first quarter. The increase reflects geographic profit mix and withholding taxes associated with moving cash across borders for dividends, acquisitions and repurchases. (</w:t>
      </w:r>
      <w:hyperlink r:id="rId10">
        <w:r>
          <w:rPr>
            <w:rStyle w:val="Hyperlink"/>
          </w:rPr>
          <w:t xml:space="preserve">sterisplc.gcs-web.com</w:t>
        </w:r>
      </w:hyperlink>
      <w:r>
        <w:t xml:space="preserve">)</w:t>
      </w:r>
    </w:p>
    <w:p>
      <w:pPr>
        <w:pStyle w:val="BodyText"/>
      </w:pPr>
      <w:r>
        <w:t xml:space="preserve">This means operating-income growth may not translate one-for-one into adjusted-EPS growth. If EPS is only around consensus despite solid segment performance, investors should determine whether the difference is operational or simply tax-related.</w:t>
      </w:r>
    </w:p>
    <w:bookmarkEnd w:id="20"/>
    <w:bookmarkStart w:id="21" w:name="X074be97a8ca0958ec5e8ad3aebd44f54e9194cf"/>
    <w:p>
      <w:pPr>
        <w:pStyle w:val="Heading3"/>
      </w:pPr>
      <w:r>
        <w:t xml:space="preserve">5. Guidance quality will determine the reaction</w:t>
      </w:r>
    </w:p>
    <w:p>
      <w:pPr>
        <w:pStyle w:val="FirstParagraph"/>
      </w:pPr>
      <w:r>
        <w:t xml:space="preserve">The most likely outcome is an</w:t>
      </w:r>
      <w:r>
        <w:t xml:space="preserve"> </w:t>
      </w:r>
      <w:r>
        <w:rPr>
          <w:b/>
          <w:bCs/>
        </w:rPr>
        <w:t xml:space="preserve">affirmation of FY2027 guidance</w:t>
      </w:r>
      <w:r>
        <w:t xml:space="preserve">. STERIS deliberately began the year with conservative AST assumptions, while Healthcare and Life Sciences entered the year with healthy underlying demand.</w:t>
      </w:r>
    </w:p>
    <w:p>
      <w:pPr>
        <w:pStyle w:val="BodyText"/>
      </w:pPr>
      <w:r>
        <w:t xml:space="preserve">A guidance raise is possible but probably unnecessary after only one quarter. More important will be whether management:</w:t>
      </w:r>
    </w:p>
    <w:p>
      <w:pPr>
        <w:pStyle w:val="Compact"/>
        <w:numPr>
          <w:ilvl w:val="0"/>
          <w:numId w:val="1007"/>
        </w:numPr>
      </w:pPr>
      <w:r>
        <w:t xml:space="preserve">Remains confident in 6%–7% company organic growth.</w:t>
      </w:r>
    </w:p>
    <w:p>
      <w:pPr>
        <w:pStyle w:val="Compact"/>
        <w:numPr>
          <w:ilvl w:val="0"/>
          <w:numId w:val="1007"/>
        </w:numPr>
      </w:pPr>
      <w:r>
        <w:t xml:space="preserve">Still expects AST to accelerate in the second half.</w:t>
      </w:r>
    </w:p>
    <w:p>
      <w:pPr>
        <w:pStyle w:val="Compact"/>
        <w:numPr>
          <w:ilvl w:val="0"/>
          <w:numId w:val="1007"/>
        </w:numPr>
      </w:pPr>
      <w:r>
        <w:t xml:space="preserve">Maintains the 50-basis-point margin-expansion opportunity.</w:t>
      </w:r>
    </w:p>
    <w:p>
      <w:pPr>
        <w:pStyle w:val="Compact"/>
        <w:numPr>
          <w:ilvl w:val="0"/>
          <w:numId w:val="1007"/>
        </w:numPr>
      </w:pPr>
      <w:r>
        <w:t xml:space="preserve">Sees tariffs, freight and oil-related costs tracking within assumptions.</w:t>
      </w:r>
    </w:p>
    <w:p>
      <w:pPr>
        <w:pStyle w:val="Compact"/>
        <w:numPr>
          <w:ilvl w:val="0"/>
          <w:numId w:val="1007"/>
        </w:numPr>
      </w:pPr>
      <w:r>
        <w:t xml:space="preserve">Reaffirms $850 million of free cash flow.</w:t>
      </w:r>
    </w:p>
    <w:p>
      <w:pPr>
        <w:pStyle w:val="FirstParagraph"/>
      </w:pPr>
      <w:r>
        <w:t xml:space="preserve">The FY2027 free-cash-flow target is approximately 14% below fiscal 2026’s exceptional $983 million. That decline is primarily a normalization issue: working capital is expected to grow with volume, and the company faces additional incentive-compensation and settlement payments. It should not automatically be read as deterioration in earnings quality. (</w:t>
      </w:r>
      <w:hyperlink r:id="rId10">
        <w:r>
          <w:rPr>
            <w:rStyle w:val="Hyperlink"/>
          </w:rPr>
          <w:t xml:space="preserve">sterisplc.gcs-web.com</w:t>
        </w:r>
      </w:hyperlink>
      <w:r>
        <w:t xml:space="preserve">)</w:t>
      </w:r>
    </w:p>
    <w:bookmarkEnd w:id="21"/>
    <w:bookmarkEnd w:id="22"/>
    <w:bookmarkStart w:id="23" w:name="capital-allocation"/>
    <w:p>
      <w:pPr>
        <w:pStyle w:val="Heading2"/>
      </w:pPr>
      <w:r>
        <w:t xml:space="preserve">Capital allocation</w:t>
      </w:r>
    </w:p>
    <w:p>
      <w:pPr>
        <w:pStyle w:val="FirstParagraph"/>
      </w:pPr>
      <w:r>
        <w:t xml:space="preserve">STERIS finished fiscal 2026 with gross debt of approximately $1.9 billion and gross leverage near 1.2 times EBITDA, leaving substantial balance-sheet capacity.</w:t>
      </w:r>
    </w:p>
    <w:p>
      <w:pPr>
        <w:pStyle w:val="BodyText"/>
      </w:pPr>
      <w:r>
        <w:t xml:space="preserve">The company has authorized up to</w:t>
      </w:r>
      <w:r>
        <w:t xml:space="preserve"> </w:t>
      </w:r>
      <m:oMath>
        <m:r>
          <m:t>1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n</m:t>
        </m:r>
        <m:r>
          <m:t>d</m:t>
        </m:r>
        <m:r>
          <m:t>s</m:t>
        </m:r>
        <m:r>
          <m:t>t</m:t>
        </m:r>
        <m:r>
          <m:t>o</m:t>
        </m:r>
        <m:r>
          <m:t>d</m:t>
        </m:r>
        <m:r>
          <m:t>e</m:t>
        </m:r>
        <m:r>
          <m:t>p</m:t>
        </m:r>
        <m:r>
          <m:t>l</m:t>
        </m:r>
        <m:r>
          <m:t>o</m:t>
        </m:r>
        <m:r>
          <m:t>y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200 million–$300 million annually</w:t>
      </w:r>
      <w:r>
        <w:t xml:space="preserve">, subject to cash availability and the withholding-tax cost of moving cash. (</w:t>
      </w:r>
      <w:hyperlink r:id="rId18">
        <w:r>
          <w:rPr>
            <w:rStyle w:val="Hyperlink"/>
          </w:rPr>
          <w:t xml:space="preserve">fool.com</w:t>
        </w:r>
      </w:hyperlink>
      <w:r>
        <w:t xml:space="preserve">)</w:t>
      </w:r>
    </w:p>
    <w:p>
      <w:pPr>
        <w:pStyle w:val="BodyText"/>
      </w:pPr>
      <w:r>
        <w:t xml:space="preserve">Questions worth monitoring include:</w:t>
      </w:r>
    </w:p>
    <w:p>
      <w:pPr>
        <w:pStyle w:val="Compact"/>
        <w:numPr>
          <w:ilvl w:val="0"/>
          <w:numId w:val="1008"/>
        </w:numPr>
      </w:pPr>
      <w:r>
        <w:t xml:space="preserve">How much stock was repurchased during Q1?</w:t>
      </w:r>
    </w:p>
    <w:p>
      <w:pPr>
        <w:pStyle w:val="Compact"/>
        <w:numPr>
          <w:ilvl w:val="0"/>
          <w:numId w:val="1008"/>
        </w:numPr>
      </w:pPr>
      <w:r>
        <w:t xml:space="preserve">Did the company become more aggressive while shares were near $200?</w:t>
      </w:r>
    </w:p>
    <w:p>
      <w:pPr>
        <w:pStyle w:val="Compact"/>
        <w:numPr>
          <w:ilvl w:val="0"/>
          <w:numId w:val="1008"/>
        </w:numPr>
      </w:pPr>
      <w:r>
        <w:t xml:space="preserve">Is tuck-in M&amp;A still the preferred use of incremental capital?</w:t>
      </w:r>
    </w:p>
    <w:p>
      <w:pPr>
        <w:pStyle w:val="Compact"/>
        <w:numPr>
          <w:ilvl w:val="0"/>
          <w:numId w:val="1008"/>
        </w:numPr>
      </w:pPr>
      <w:r>
        <w:t xml:space="preserve">Does the higher share price change the planned pace of repurchases?</w:t>
      </w:r>
    </w:p>
    <w:p>
      <w:pPr>
        <w:pStyle w:val="FirstParagraph"/>
      </w:pPr>
      <w:r>
        <w:t xml:space="preserve">Buybacks should support per-share growth, but they are unlikely to transform near-term EPS because of the associated tax and financing friction.</w:t>
      </w:r>
    </w:p>
    <w:bookmarkEnd w:id="23"/>
    <w:bookmarkStart w:id="27" w:name="scenario-framework"/>
    <w:p>
      <w:pPr>
        <w:pStyle w:val="Heading2"/>
      </w:pPr>
      <w:r>
        <w:t xml:space="preserve">Scenario framework</w:t>
      </w:r>
    </w:p>
    <w:bookmarkStart w:id="24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09"/>
        </w:numPr>
      </w:pPr>
      <w:r>
        <w:t xml:space="preserve">Revenue above approximately</w:t>
      </w:r>
      <w:r>
        <w:t xml:space="preserve"> </w:t>
      </w:r>
      <w:r>
        <w:rPr>
          <w:b/>
          <w:bCs/>
        </w:rPr>
        <w:t xml:space="preserve">$1.52 billion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Adjusted EPS of</w:t>
      </w:r>
      <w:r>
        <w:t xml:space="preserve"> </w:t>
      </w:r>
      <w:r>
        <w:rPr>
          <w:b/>
          <w:bCs/>
        </w:rPr>
        <w:t xml:space="preserve">$2.55 or better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Organic growth near or above 7%.</w:t>
      </w:r>
    </w:p>
    <w:p>
      <w:pPr>
        <w:pStyle w:val="Compact"/>
        <w:numPr>
          <w:ilvl w:val="0"/>
          <w:numId w:val="1009"/>
        </w:numPr>
      </w:pPr>
      <w:r>
        <w:t xml:space="preserve">AST service growth stronger than feared.</w:t>
      </w:r>
    </w:p>
    <w:p>
      <w:pPr>
        <w:pStyle w:val="Compact"/>
        <w:numPr>
          <w:ilvl w:val="0"/>
          <w:numId w:val="1009"/>
        </w:numPr>
      </w:pPr>
      <w:r>
        <w:t xml:space="preserve">Healthcare service and consumables remain robust.</w:t>
      </w:r>
    </w:p>
    <w:p>
      <w:pPr>
        <w:pStyle w:val="Compact"/>
        <w:numPr>
          <w:ilvl w:val="0"/>
          <w:numId w:val="1009"/>
        </w:numPr>
      </w:pPr>
      <w:r>
        <w:t xml:space="preserve">Margin expansion evident despite tariffs.</w:t>
      </w:r>
    </w:p>
    <w:p>
      <w:pPr>
        <w:pStyle w:val="Compact"/>
        <w:numPr>
          <w:ilvl w:val="0"/>
          <w:numId w:val="1009"/>
        </w:numPr>
      </w:pPr>
      <w:r>
        <w:t xml:space="preserve">Management raises or signals upside to FY2027 guidance.</w:t>
      </w:r>
    </w:p>
    <w:p>
      <w:pPr>
        <w:pStyle w:val="FirstParagraph"/>
      </w:pPr>
      <w:r>
        <w:t xml:space="preserve">This outcome would support the thesis that AST’s slowdown was temporary and that STERIS can return to double-digit EPS growth with improving margins.</w:t>
      </w:r>
    </w:p>
    <w:bookmarkEnd w:id="24"/>
    <w:bookmarkStart w:id="25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0"/>
        </w:numPr>
      </w:pPr>
      <w:r>
        <w:t xml:space="preserve">Revenue around</w:t>
      </w:r>
      <w:r>
        <w:t xml:space="preserve"> </w:t>
      </w:r>
      <m:oMath>
        <m:r>
          <m:t>1.49</m:t>
        </m:r>
        <m:r>
          <m:rPr>
            <m:sty m:val="p"/>
          </m:rPr>
          <m:t>–</m:t>
        </m:r>
      </m:oMath>
      <w:r>
        <w:rPr>
          <w:b/>
          <w:bCs/>
        </w:rPr>
        <w:t xml:space="preserve">1.52 billion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t xml:space="preserve">Adjusted EPS around</w:t>
      </w:r>
      <w:r>
        <w:t xml:space="preserve"> </w:t>
      </w:r>
      <m:oMath>
        <m:r>
          <m:t>2.48</m:t>
        </m:r>
        <m:r>
          <m:rPr>
            <m:sty m:val="p"/>
          </m:rPr>
          <m:t>–</m:t>
        </m:r>
      </m:oMath>
      <w:r>
        <w:rPr>
          <w:b/>
          <w:bCs/>
        </w:rPr>
        <w:t xml:space="preserve">2.53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t xml:space="preserve">Organic growth of approximately 6%–7%.</w:t>
      </w:r>
    </w:p>
    <w:p>
      <w:pPr>
        <w:pStyle w:val="Compact"/>
        <w:numPr>
          <w:ilvl w:val="0"/>
          <w:numId w:val="1010"/>
        </w:numPr>
      </w:pPr>
      <w:r>
        <w:t xml:space="preserve">AST starts slowly but management reiterates second-half acceleration.</w:t>
      </w:r>
    </w:p>
    <w:p>
      <w:pPr>
        <w:pStyle w:val="Compact"/>
        <w:numPr>
          <w:ilvl w:val="0"/>
          <w:numId w:val="1010"/>
        </w:numPr>
      </w:pPr>
      <w:r>
        <w:t xml:space="preserve">FY2027 guidance is reaffirmed.</w:t>
      </w:r>
    </w:p>
    <w:p>
      <w:pPr>
        <w:pStyle w:val="FirstParagraph"/>
      </w:pPr>
      <w:r>
        <w:t xml:space="preserve">This would represent satisfactory execution, although the stock reaction could be muted given the recent rally and roughly 21-times forward valuation.</w:t>
      </w:r>
    </w:p>
    <w:bookmarkEnd w:id="25"/>
    <w:bookmarkStart w:id="26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1"/>
        </w:numPr>
      </w:pPr>
      <w:r>
        <w:t xml:space="preserve">Revenue below approximately</w:t>
      </w:r>
      <w:r>
        <w:t xml:space="preserve"> </w:t>
      </w:r>
      <w:r>
        <w:rPr>
          <w:b/>
          <w:bCs/>
        </w:rPr>
        <w:t xml:space="preserve">$1.48 billion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t xml:space="preserve">Adjusted EPS below</w:t>
      </w:r>
      <w:r>
        <w:t xml:space="preserve"> </w:t>
      </w:r>
      <w:r>
        <w:rPr>
          <w:b/>
          <w:bCs/>
        </w:rPr>
        <w:t xml:space="preserve">$2.45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t xml:space="preserve">AST service volumes remain weak and inventory destocking appears persistent.</w:t>
      </w:r>
    </w:p>
    <w:p>
      <w:pPr>
        <w:pStyle w:val="Compact"/>
        <w:numPr>
          <w:ilvl w:val="0"/>
          <w:numId w:val="1011"/>
        </w:numPr>
      </w:pPr>
      <w:r>
        <w:t xml:space="preserve">Healthcare equipment orders or backlog deteriorate.</w:t>
      </w:r>
    </w:p>
    <w:p>
      <w:pPr>
        <w:pStyle w:val="Compact"/>
        <w:numPr>
          <w:ilvl w:val="0"/>
          <w:numId w:val="1011"/>
        </w:numPr>
      </w:pPr>
      <w:r>
        <w:t xml:space="preserve">Pricing fails to offset tariffs and inflation.</w:t>
      </w:r>
    </w:p>
    <w:p>
      <w:pPr>
        <w:pStyle w:val="Compact"/>
        <w:numPr>
          <w:ilvl w:val="0"/>
          <w:numId w:val="1011"/>
        </w:numPr>
      </w:pPr>
      <w:r>
        <w:t xml:space="preserve">Management narrows guidance toward the low end or becomes less confident in second-half growth.</w:t>
      </w:r>
    </w:p>
    <w:p>
      <w:pPr>
        <w:pStyle w:val="FirstParagraph"/>
      </w:pPr>
      <w:r>
        <w:t xml:space="preserve">The biggest risk would not be a modest Q1 miss by itself; it would be evidence that AST’s recovery is being pushed out while margin headwinds are proving more durable.</w:t>
      </w:r>
    </w:p>
    <w:bookmarkEnd w:id="26"/>
    <w:bookmarkEnd w:id="27"/>
    <w:bookmarkStart w:id="28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STERIS enters fiscal Q1 with a durable Healthcare franchise, improving Life Sciences demand and a strong balance sheet. The debate is concentrated in AST and margins.</w:t>
      </w:r>
    </w:p>
    <w:p>
      <w:pPr>
        <w:pStyle w:val="BodyText"/>
      </w:pPr>
      <w:r>
        <w:t xml:space="preserve">A constructive report does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require a major guidance increase. It does require:</w:t>
      </w:r>
    </w:p>
    <w:p>
      <w:pPr>
        <w:pStyle w:val="Compact"/>
        <w:numPr>
          <w:ilvl w:val="0"/>
          <w:numId w:val="1012"/>
        </w:numPr>
      </w:pPr>
      <w:r>
        <w:t xml:space="preserve">Company organic growth consistent with the 6%–7% target.</w:t>
      </w:r>
    </w:p>
    <w:p>
      <w:pPr>
        <w:pStyle w:val="Compact"/>
        <w:numPr>
          <w:ilvl w:val="0"/>
          <w:numId w:val="1012"/>
        </w:numPr>
      </w:pPr>
      <w:r>
        <w:t xml:space="preserve">Evidence that AST weakness is temporary rather than structural.</w:t>
      </w:r>
    </w:p>
    <w:p>
      <w:pPr>
        <w:pStyle w:val="Compact"/>
        <w:numPr>
          <w:ilvl w:val="0"/>
          <w:numId w:val="1012"/>
        </w:numPr>
      </w:pPr>
      <w:r>
        <w:t xml:space="preserve">Healthcare service and consumables growth remaining healthy.</w:t>
      </w:r>
    </w:p>
    <w:p>
      <w:pPr>
        <w:pStyle w:val="Compact"/>
        <w:numPr>
          <w:ilvl w:val="0"/>
          <w:numId w:val="1012"/>
        </w:numPr>
      </w:pPr>
      <w:r>
        <w:t xml:space="preserve">Pricing and productivity offsetting tariffs and inflation.</w:t>
      </w:r>
    </w:p>
    <w:p>
      <w:pPr>
        <w:pStyle w:val="Compact"/>
        <w:numPr>
          <w:ilvl w:val="0"/>
          <w:numId w:val="1012"/>
        </w:numPr>
      </w:pPr>
      <w:r>
        <w:t xml:space="preserve">Continued confidence in approximately 50 basis points of FY2027 margin expansion.</w:t>
      </w:r>
    </w:p>
    <w:p>
      <w:pPr>
        <w:pStyle w:val="FirstParagraph"/>
      </w:pPr>
      <w:r>
        <w:t xml:space="preserve">With the stock back near $233, investors are likely to reward</w:t>
      </w:r>
      <w:r>
        <w:t xml:space="preserve"> </w:t>
      </w:r>
      <w:r>
        <w:rPr>
          <w:b/>
          <w:bCs/>
        </w:rPr>
        <w:t xml:space="preserve">quality and visibility</w:t>
      </w:r>
      <w:r>
        <w:t xml:space="preserve"> </w:t>
      </w:r>
      <w:r>
        <w:t xml:space="preserve">more than a small headline beat. The cleanest bullish signal would be solid AST volume commentary combined with Healthcare recurring-revenue strength and unchanged—or better—full-year margin expectations.</w:t>
      </w:r>
    </w:p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https://sterisplc.gcs-web.com/news-releases/news-release-details/steris-announces-financial-results-fiscal-2026-first-quarter/?utm_source=openai" TargetMode="External" /><Relationship Type="http://schemas.openxmlformats.org/officeDocument/2006/relationships/hyperlink" Id="rId10" Target="https://sterisplc.gcs-web.com/news-releases/news-release-details/steris-announces-financial-results-fiscal-2026-fourth-quarter/?utm_source=openai" TargetMode="External" /><Relationship Type="http://schemas.openxmlformats.org/officeDocument/2006/relationships/hyperlink" Id="rId9" Target="https://www.fidelity.com/news/article/default/202607271630PRIMZONEFULLFEED9798636?utm_source=openai" TargetMode="External" /><Relationship Type="http://schemas.openxmlformats.org/officeDocument/2006/relationships/hyperlink" Id="rId18" Target="https://www.fool.com/earnings/call-transcripts/2026/05/12/steris-ste-q4-2026-earnings-transcript/?utm_source=openai" TargetMode="External" /><Relationship Type="http://schemas.openxmlformats.org/officeDocument/2006/relationships/hyperlink" Id="rId15" Target="https://www.investing.com/news/transcripts/earnings-call-transcript-steris-q4-2026-sees-strong-revenue-eps-miss-93CH-4691013?utm_source=openai" TargetMode="External" /><Relationship Type="http://schemas.openxmlformats.org/officeDocument/2006/relationships/hyperlink" Id="rId11" Target="https://www.marketbeat.com/stocks/NYSE/STE/earning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https://sterisplc.gcs-web.com/news-releases/news-release-details/steris-announces-financial-results-fiscal-2026-first-quarter/?utm_source=openai" TargetMode="External" /><Relationship Type="http://schemas.openxmlformats.org/officeDocument/2006/relationships/hyperlink" Id="rId10" Target="https://sterisplc.gcs-web.com/news-releases/news-release-details/steris-announces-financial-results-fiscal-2026-fourth-quarter/?utm_source=openai" TargetMode="External" /><Relationship Type="http://schemas.openxmlformats.org/officeDocument/2006/relationships/hyperlink" Id="rId9" Target="https://www.fidelity.com/news/article/default/202607271630PRIMZONEFULLFEED9798636?utm_source=openai" TargetMode="External" /><Relationship Type="http://schemas.openxmlformats.org/officeDocument/2006/relationships/hyperlink" Id="rId18" Target="https://www.fool.com/earnings/call-transcripts/2026/05/12/steris-ste-q4-2026-earnings-transcript/?utm_source=openai" TargetMode="External" /><Relationship Type="http://schemas.openxmlformats.org/officeDocument/2006/relationships/hyperlink" Id="rId15" Target="https://www.investing.com/news/transcripts/earnings-call-transcript-steris-q4-2026-sees-strong-revenue-eps-miss-93CH-4691013?utm_source=openai" TargetMode="External" /><Relationship Type="http://schemas.openxmlformats.org/officeDocument/2006/relationships/hyperlink" Id="rId11" Target="https://www.marketbeat.com/stocks/NYSE/STE/earning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2026-08-05T01:43:41Z</dcterms:created>
  <dcterms:modified xsi:type="dcterms:W3CDTF">2026-08-05T01:43:41Z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