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y-earnings-predictions--2026-08-04"/>
    <w:p>
      <w:pPr>
        <w:pStyle w:val="Heading1"/>
      </w:pPr>
      <w:r>
        <w:t xml:space="preserve">SYY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Broadline local case volume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~+2.8% vs. cons ~+2.5%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22.0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21.9B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guide (standalone, ex-Jetro)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4.95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net sales guide (standalone)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87.8B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local case volume momentum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~+3% vs. cons ~+2.5%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Jetro/Restaurant Depot deal close timeline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close ~Q3 FY27 vs. cons ~Q3 FY27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Numbers are pre-baked and stock has round-tripped to ~</w:t>
            </w:r>
            <m:oMath>
              <m:r>
                <m:t>85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a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t> </m:t>
              </m:r>
            </m:oMath>
            <w:r>
              <w:t xml:space="preserve">1.51/</w:t>
            </w:r>
            <m:oMath>
              <m:r>
                <m:t>4.60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l</m:t>
              </m:r>
              <m:r>
                <m:t>o</m:t>
              </m:r>
              <m:r>
                <m:t>c</m:t>
              </m:r>
              <m:r>
                <m:t>a</m:t>
              </m:r>
              <m:r>
                <m:t>l</m:t>
              </m:r>
              <m:r>
                <m:t>v</m:t>
              </m:r>
              <m:r>
                <m:t>o</m:t>
              </m:r>
              <m:r>
                <m:t>l</m:t>
              </m:r>
              <m:r>
                <m:t>u</m:t>
              </m:r>
              <m:r>
                <m:t>m</m:t>
              </m:r>
              <m:r>
                <m:t>e</m:t>
              </m:r>
              <m:r>
                <m:rPr>
                  <m:sty m:val="p"/>
                </m:rPr>
                <m:t>&gt;</m:t>
              </m:r>
              <m:r>
                <m:t>2.5</m:t>
              </m:r>
            </m:oMath>
            <w:r>
              <w:t xml:space="preserve">800M buyback removes ~$0.10 of EPS while Jetro dilution isn't yet in the base, so an initial FY27 EPS anchor around</w:t>
            </w:r>
            <w:r>
              <w:t xml:space="preserve"> </w:t>
            </w:r>
            <m:oMath>
              <m:r>
                <m:t>4.85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4.95 consensus, pulling out-year estimates down even if Q4 beats. Combined with Jetro regulatory/CFO overhang and stretched expectations, residual drifts modestly lower over the week as sell-side trims FY27.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2026-08-04T00:58:26Z</dcterms:created>
  <dcterms:modified xsi:type="dcterms:W3CDTF">2026-08-04T00:58:26Z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