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Sysco (SYY) before writing the preview. Let me start by gathering recent earnings materials, filings, and news.Let me read the most recent Q3 2026 earnings call and release, plus the prior Q4 2025 for guidance context.I have strong detail on Q3. Now let me check the stock price trend and any recent news around the deal and regulatory review heading into the print.Let me quickly pull the year-ago Q4 FY2025 release to establish the comparison base and guidance context.I now have everything I need. Here's the earnings preview.</w:t>
      </w:r>
    </w:p>
    <w:p>
      <w:r>
        <w:pict>
          <v:rect style="width:0;height:1.5pt" o:hralign="center" o:hrstd="t" o:hr="t"/>
        </w:pict>
      </w:r>
    </w:p>
    <w:bookmarkStart w:id="18" w:name="sysco-syy--fy2026-q4-earnings-preview"/>
    <w:p>
      <w:pPr>
        <w:pStyle w:val="Heading1"/>
      </w:pPr>
      <w:r>
        <w:t xml:space="preserve">Sysco (SYY) — FY2026 Q4 Earnings Preview</w:t>
      </w:r>
    </w:p>
    <w:bookmarkStart w:id="9" w:name="X8f324660acf747478b51d3adaedb7da7b3dc49b"/>
    <w:p>
      <w:pPr>
        <w:pStyle w:val="Heading3"/>
      </w:pPr>
      <w:r>
        <w:t xml:space="preserve">Report date: Tuesday, August 4, 2026 (before market open) | Fiscal Q4 ended ~June 27, 2026</w:t>
      </w:r>
    </w:p>
    <w:bookmarkEnd w:id="9"/>
    <w:bookmarkStart w:id="10" w:name="the-one-line-setup"/>
    <w:p>
      <w:pPr>
        <w:pStyle w:val="Heading2"/>
      </w:pPr>
      <w:r>
        <w:t xml:space="preserve">The one-line setup</w:t>
      </w:r>
    </w:p>
    <w:p>
      <w:pPr>
        <w:pStyle w:val="FirstParagraph"/>
      </w:pPr>
      <w:r>
        <w:t xml:space="preserve">Sysco heads into its fiscal year-end print with genuine operating momentum in its core U.S. business, but the stock is being driven by a bigger question: the pending $29.1B acquisition of Jetro Restaurant Depot. This quarter is less about the modest ~2% EPS growth on the tape and more about (1) whether the local-volume recovery held, (2) how management frames its first FY2027 guidance around a deal that hasn't closed, and (3) any update on the regulatory path and a permanent CFO.</w:t>
      </w:r>
    </w:p>
    <w:p>
      <w:r>
        <w:pict>
          <v:rect style="width:0;height:1.5pt" o:hralign="center" o:hrstd="t" o:hr="t"/>
        </w:pict>
      </w:r>
    </w:p>
    <w:bookmarkEnd w:id="10"/>
    <w:bookmarkStart w:id="11" w:name="X523bb66eb3a5f7ba268830fd704bf46b2dd231c"/>
    <w:p>
      <w:pPr>
        <w:pStyle w:val="Heading2"/>
      </w:pPr>
      <w:r>
        <w:t xml:space="preserve">1. What consensus/guidance implies for the quarter</w:t>
      </w:r>
    </w:p>
    <w:p>
      <w:pPr>
        <w:pStyle w:val="FirstParagraph"/>
      </w:pPr>
      <w:r>
        <w:t xml:space="preserve">Management effectively pre-guided Q4 on the April call. Backing into the numbers: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Q4 FY26 (implied/guided)</w:t>
            </w:r>
          </w:p>
        </w:tc>
        <w:tc>
          <w:tcPr/>
          <w:p>
            <w:pPr>
              <w:pStyle w:val="Compact"/>
            </w:pPr>
            <w:r>
              <w:t xml:space="preserve">Q4 FY25 (actual)</w:t>
            </w:r>
          </w:p>
        </w:tc>
        <w:tc>
          <w:tcPr/>
          <w:p>
            <w:pPr>
              <w:pStyle w:val="Compact"/>
            </w:pPr>
            <w:r>
              <w:t xml:space="preserve">YoY</w:t>
            </w:r>
          </w:p>
        </w:tc>
      </w:tr>
      <w:tr>
        <w:tc>
          <w:tcPr/>
          <w:p>
            <w:pPr>
              <w:pStyle w:val="Compact"/>
            </w:pPr>
            <w:r>
              <w:t xml:space="preserve">Adjusted EPS</w:t>
            </w:r>
          </w:p>
        </w:tc>
        <w:tc>
          <w:tcPr/>
          <w:p>
            <w:pPr>
              <w:pStyle w:val="Compact"/>
            </w:pPr>
            <w:r>
              <w:t xml:space="preserve">**~</w:t>
            </w:r>
            <m:oMath>
              <m:r>
                <m:t>1.51</m:t>
              </m:r>
              <m:r>
                <m:rPr>
                  <m:sty m:val="p"/>
                </m:rPr>
                <m:t>*</m:t>
              </m:r>
              <m:r>
                <m:rPr>
                  <m:sty m:val="p"/>
                </m:rPr>
                <m:t>*</m:t>
              </m:r>
              <m:r>
                <m:rPr>
                  <m:sty m:val="p"/>
                </m:rPr>
                <m:t>(</m:t>
              </m:r>
              <m:r>
                <m:t>i</m:t>
              </m:r>
              <m:r>
                <m:t>m</m:t>
              </m:r>
              <m:r>
                <m:t>p</m:t>
              </m:r>
              <m:r>
                <m:t>l</m:t>
              </m:r>
              <m:r>
                <m:t>i</m:t>
              </m:r>
              <m:r>
                <m:t>e</m:t>
              </m:r>
              <m:r>
                <m:t>s</m:t>
              </m:r>
              <m:r>
                <m:t>F</m:t>
              </m:r>
              <m:r>
                <m:t>Y</m:t>
              </m:r>
              <m:r>
                <m:t>26</m:t>
              </m:r>
              <m:r>
                <m:t> </m:t>
              </m:r>
            </m:oMath>
            <w:r>
              <w:t xml:space="preserve">4.60, the high end)</w:t>
            </w:r>
          </w:p>
        </w:tc>
        <w:tc>
          <w:tcPr/>
          <w:p>
            <w:pPr>
              <w:pStyle w:val="Compact"/>
            </w:pPr>
            <w:r>
              <w:t xml:space="preserve">$1.48</w:t>
            </w:r>
          </w:p>
        </w:tc>
        <w:tc>
          <w:tcPr/>
          <w:p>
            <w:pPr>
              <w:pStyle w:val="Compact"/>
            </w:pPr>
            <w:r>
              <w:t xml:space="preserve">~+2%</w:t>
            </w:r>
          </w:p>
        </w:tc>
      </w:tr>
      <w:tr>
        <w:tc>
          <w:tcPr/>
          <w:p>
            <w:pPr>
              <w:pStyle w:val="Compact"/>
            </w:pPr>
            <w:r>
              <w:t xml:space="preserve">Net sales</w:t>
            </w:r>
          </w:p>
        </w:tc>
        <w:tc>
          <w:tcPr/>
          <w:p>
            <w:pPr>
              <w:pStyle w:val="Compact"/>
            </w:pPr>
            <w:r>
              <w:t xml:space="preserve">~$21.6–22.6B (FY26 guide $84–85B; $62.4B booked YTD)</w:t>
            </w:r>
          </w:p>
        </w:tc>
        <w:tc>
          <w:tcPr/>
          <w:p>
            <w:pPr>
              <w:pStyle w:val="Compact"/>
            </w:pPr>
            <w:r>
              <w:t xml:space="preserve">$21.1B</w:t>
            </w:r>
          </w:p>
        </w:tc>
        <w:tc>
          <w:tcPr/>
          <w:p>
            <w:pPr>
              <w:pStyle w:val="Compact"/>
            </w:pPr>
            <w:r>
              <w:t xml:space="preserve">+2–7%</w:t>
            </w:r>
          </w:p>
        </w:tc>
      </w:tr>
      <w:tr>
        <w:tc>
          <w:tcPr/>
          <w:p>
            <w:pPr>
              <w:pStyle w:val="Compact"/>
            </w:pPr>
            <w:r>
              <w:t xml:space="preserve">U.S. local case volume</w:t>
            </w:r>
          </w:p>
        </w:tc>
        <w:tc>
          <w:tcPr/>
          <w:p>
            <w:pPr>
              <w:pStyle w:val="Compact"/>
            </w:pPr>
            <w:r>
              <w:rPr>
                <w:b/>
                <w:bCs/>
              </w:rPr>
              <w:t xml:space="preserve">"at least +2.5%"</w:t>
            </w:r>
          </w:p>
        </w:tc>
        <w:tc>
          <w:tcPr/>
          <w:p>
            <w:pPr>
              <w:pStyle w:val="Compact"/>
            </w:pPr>
            <w:r>
              <w:rPr>
                <w:b/>
                <w:bCs/>
              </w:rPr>
              <w:t xml:space="preserve">–1.5%</w:t>
            </w:r>
          </w:p>
        </w:tc>
        <w:tc>
          <w:tcPr/>
          <w:p>
            <w:pPr>
              <w:pStyle w:val="Compact"/>
            </w:pPr>
            <w:r>
              <w:t xml:space="preserve">huge swing</w:t>
            </w:r>
          </w:p>
        </w:tc>
      </w:tr>
      <w:tr>
        <w:tc>
          <w:tcPr/>
          <w:p>
            <w:pPr>
              <w:pStyle w:val="Compact"/>
            </w:pPr>
            <w:r>
              <w:t xml:space="preserve">Adj. operating income</w:t>
            </w:r>
          </w:p>
        </w:tc>
        <w:tc>
          <w:tcPr/>
          <w:p>
            <w:pPr>
              <w:pStyle w:val="Compact"/>
            </w:pPr>
            <w:r>
              <w:t xml:space="preserve">growth expected as incentive-comp lap fades</w:t>
            </w:r>
          </w:p>
        </w:tc>
        <w:tc>
          <w:tcPr/>
          <w:p>
            <w:pPr>
              <w:pStyle w:val="Compact"/>
            </w:pPr>
            <w:r>
              <w:t xml:space="preserve">$1.1B</w:t>
            </w:r>
          </w:p>
        </w:tc>
        <w:tc>
          <w:tcPr/>
          <w:p>
            <w:pPr>
              <w:pStyle w:val="Compact"/>
            </w:pPr>
            <w:r>
              <w:t xml:space="preserve">—</w:t>
            </w:r>
          </w:p>
        </w:tc>
      </w:tr>
    </w:tbl>
    <w:p>
      <w:pPr>
        <w:pStyle w:val="BodyText"/>
      </w:pPr>
      <w:r>
        <w:t xml:space="preserve">Key modeling markers management handed out for Q4: interest expense ~</w:t>
      </w:r>
      <m:oMath>
        <m:r>
          <m:t>175</m:t>
        </m:r>
        <m:r>
          <m:rPr>
            <m:sty m:val="p"/>
          </m:rPr>
          <m:t>–</m:t>
        </m:r>
        <m:r>
          <m:t>180</m:t>
        </m:r>
        <m:r>
          <m:t>M</m:t>
        </m:r>
        <m:r>
          <m:rPr>
            <m:sty m:val="p"/>
          </m:rPr>
          <m:t>,</m:t>
        </m:r>
        <m:r>
          <m:t>o</m:t>
        </m:r>
        <m:r>
          <m:t>t</m:t>
        </m:r>
        <m:r>
          <m:t>h</m:t>
        </m:r>
        <m:r>
          <m:t>e</m:t>
        </m:r>
        <m:r>
          <m:t>r</m:t>
        </m:r>
        <m:r>
          <m:t>e</m:t>
        </m:r>
        <m:r>
          <m:t>x</m:t>
        </m:r>
        <m:r>
          <m:t>p</m:t>
        </m:r>
        <m:r>
          <m:t>e</m:t>
        </m:r>
        <m:r>
          <m:t>n</m:t>
        </m:r>
        <m:r>
          <m:t>s</m:t>
        </m:r>
        <m:r>
          <m:t>e</m:t>
        </m:r>
        <m:r>
          <m:t> </m:t>
        </m:r>
      </m:oMath>
      <w:r>
        <w:t xml:space="preserve">10M, tax rate ~24%, and D&amp;A ~</w:t>
      </w:r>
      <m:oMath>
        <m:r>
          <m:t>210</m:t>
        </m:r>
        <m:r>
          <m:t>M</m:t>
        </m:r>
        <m:r>
          <m:rPr>
            <m:sty m:val="p"/>
          </m:rPr>
          <m:t>.</m:t>
        </m:r>
        <m:r>
          <m:t>A</m:t>
        </m:r>
        <m:r>
          <m:t>n</m:t>
        </m:r>
        <m:r>
          <m:t>e</m:t>
        </m:r>
        <m:r>
          <m:t>w</m:t>
        </m:r>
        <m:r>
          <m:t>l</m:t>
        </m:r>
        <m:r>
          <m:t>y</m:t>
        </m:r>
        <m:r>
          <m:t>i</m:t>
        </m:r>
        <m:r>
          <m:t>d</m:t>
        </m:r>
        <m:r>
          <m:t>e</m:t>
        </m:r>
        <m:r>
          <m:t>n</m:t>
        </m:r>
        <m:r>
          <m:t>t</m:t>
        </m:r>
        <m:r>
          <m:t>i</m:t>
        </m:r>
        <m:r>
          <m:t>f</m:t>
        </m:r>
        <m:r>
          <m:t>i</m:t>
        </m:r>
        <m:r>
          <m:t>e</m:t>
        </m:r>
        <m:r>
          <m:t>d</m:t>
        </m:r>
        <m:r>
          <m:rPr>
            <m:sty m:val="p"/>
          </m:rPr>
          <m:t>*</m:t>
        </m:r>
        <m:r>
          <m:rPr>
            <m:sty m:val="p"/>
          </m:rPr>
          <m:t>*</m:t>
        </m:r>
      </m:oMath>
      <w:r>
        <w:t xml:space="preserve">60M run-rate corporate cost-savings program** begins in Q4 and helps offset the EPS drag from the suspended buyback.</w:t>
      </w:r>
    </w:p>
    <w:p>
      <w:pPr>
        <w:pStyle w:val="BodyText"/>
      </w:pPr>
      <w:r>
        <w:rPr>
          <w:b/>
          <w:bCs/>
        </w:rPr>
        <w:t xml:space="preserve">Bottom line:</w:t>
      </w:r>
      <w:r>
        <w:t xml:space="preserve"> </w:t>
      </w:r>
      <w:r>
        <w:t xml:space="preserve">the bar for the headline is low and well-telegraphed. A clean print at ~</w:t>
      </w:r>
      <m:oMath>
        <m:r>
          <m:t>1.51</m:t>
        </m:r>
        <m:r>
          <m:rPr>
            <m:sty m:val="p"/>
          </m:rPr>
          <m:t>/</m:t>
        </m:r>
        <m:r>
          <m:t> </m:t>
        </m:r>
      </m:oMath>
      <w:r>
        <w:t xml:space="preserve">4.60 full year is the base case. The share reaction will hinge on volume, FY27 guidance, and the deal.</w:t>
      </w:r>
    </w:p>
    <w:p>
      <w:r>
        <w:pict>
          <v:rect style="width:0;height:1.5pt" o:hralign="center" o:hrstd="t" o:hr="t"/>
        </w:pict>
      </w:r>
    </w:p>
    <w:bookmarkEnd w:id="11"/>
    <w:bookmarkStart w:id="12" w:name="Xa5afdbb4ce66af3e296d626c7b83fe13f85dde1"/>
    <w:p>
      <w:pPr>
        <w:pStyle w:val="Heading2"/>
      </w:pPr>
      <w:r>
        <w:t xml:space="preserve">2. The metric that matters most: U.S. local case volume</w:t>
      </w:r>
    </w:p>
    <w:p>
      <w:pPr>
        <w:pStyle w:val="FirstParagraph"/>
      </w:pPr>
      <w:r>
        <w:t xml:space="preserve">This is the single most-watched KPI at Sysco, and the story has inflected:</w:t>
      </w:r>
    </w:p>
    <w:p>
      <w:pPr>
        <w:pStyle w:val="Compact"/>
        <w:numPr>
          <w:ilvl w:val="0"/>
          <w:numId w:val="1001"/>
        </w:numPr>
      </w:pPr>
      <w:r>
        <w:rPr>
          <w:b/>
          <w:bCs/>
        </w:rPr>
        <w:t xml:space="preserve">Q3 FY26 local volume was +3.3%</w:t>
      </w:r>
      <w:r>
        <w:t xml:space="preserve"> </w:t>
      </w:r>
      <w:r>
        <w:t xml:space="preserve">— the strongest in over three years — vs. a traffic backdrop (Black Box) down ~1.9%. That's ~120 bps of outperformance vs. the market, which management attributes to</w:t>
      </w:r>
      <w:r>
        <w:t xml:space="preserve"> </w:t>
      </w:r>
      <w:r>
        <w:rPr>
          <w:b/>
          <w:bCs/>
        </w:rPr>
        <w:t xml:space="preserve">things in its control</w:t>
      </w:r>
      <w:r>
        <w:t xml:space="preserve">: sales-rep retention, productivity, the "AI 360" selling tool, and programs like Sysco Your Way and Perks.</w:t>
      </w:r>
    </w:p>
    <w:p>
      <w:pPr>
        <w:pStyle w:val="Compact"/>
        <w:numPr>
          <w:ilvl w:val="0"/>
          <w:numId w:val="1001"/>
        </w:numPr>
      </w:pPr>
      <w:r>
        <w:t xml:space="preserve">The Q4 guide is</w:t>
      </w:r>
      <w:r>
        <w:t xml:space="preserve"> </w:t>
      </w:r>
      <w:r>
        <w:rPr>
          <w:b/>
          <w:bCs/>
        </w:rPr>
        <w:t xml:space="preserve">"at least +2.5%"</w:t>
      </w:r>
      <w:r>
        <w:t xml:space="preserve">, framed as a ~120 bps acceleration on a 2-year stack vs. Q3.</w:t>
      </w:r>
    </w:p>
    <w:p>
      <w:pPr>
        <w:pStyle w:val="Compact"/>
        <w:numPr>
          <w:ilvl w:val="0"/>
          <w:numId w:val="1001"/>
        </w:numPr>
      </w:pPr>
      <w:r>
        <w:t xml:space="preserve">The year-ago comp is easy:</w:t>
      </w:r>
      <w:r>
        <w:t xml:space="preserve"> </w:t>
      </w:r>
      <w:r>
        <w:rPr>
          <w:b/>
          <w:bCs/>
        </w:rPr>
        <w:t xml:space="preserve">local was –1.5% in Q4 FY25</w:t>
      </w:r>
      <w:r>
        <w:t xml:space="preserve">, though last year's June "exit rate" was already improving, so the 2-year stack is the honest way to read it.</w:t>
      </w:r>
    </w:p>
    <w:p>
      <w:pPr>
        <w:pStyle w:val="FirstParagraph"/>
      </w:pPr>
      <w:r>
        <w:rPr>
          <w:b/>
          <w:bCs/>
        </w:rPr>
        <w:t xml:space="preserve">Watch:</w:t>
      </w:r>
      <w:r>
        <w:t xml:space="preserve"> </w:t>
      </w:r>
      <w:r>
        <w:t xml:space="preserve">Did local land at/above 2.5%? Management said April "was in line with expectations." Any deceleration would undercut the "self-help works regardless of macro" thesis. Also watch</w:t>
      </w:r>
      <w:r>
        <w:t xml:space="preserve"> </w:t>
      </w:r>
      <w:r>
        <w:rPr>
          <w:b/>
          <w:bCs/>
        </w:rPr>
        <w:t xml:space="preserve">national/contract volume</w:t>
      </w:r>
      <w:r>
        <w:t xml:space="preserve"> </w:t>
      </w:r>
      <w:r>
        <w:t xml:space="preserve">(guided to improve off +1.4% in Q3, driven by healthcare/hospitality/education wins, while national</w:t>
      </w:r>
      <w:r>
        <w:t xml:space="preserve"> </w:t>
      </w:r>
      <w:r>
        <w:rPr>
          <w:i/>
          <w:iCs/>
        </w:rPr>
        <w:t xml:space="preserve">restaurant</w:t>
      </w:r>
      <w:r>
        <w:t xml:space="preserve"> </w:t>
      </w:r>
      <w:r>
        <w:t xml:space="preserve">chains remain weak on soft traffic) and</w:t>
      </w:r>
      <w:r>
        <w:t xml:space="preserve"> </w:t>
      </w:r>
      <w:r>
        <w:rPr>
          <w:b/>
          <w:bCs/>
        </w:rPr>
        <w:t xml:space="preserve">Sysco Brand penetration</w:t>
      </w:r>
      <w:r>
        <w:t xml:space="preserve">, which has been declining YoY (35.0% of U.S. Broadline cases in Q3) but showed sequential improvement with the new "Swap &amp; Save" tool.</w:t>
      </w:r>
    </w:p>
    <w:p>
      <w:r>
        <w:pict>
          <v:rect style="width:0;height:1.5pt" o:hralign="center" o:hrstd="t" o:hr="t"/>
        </w:pict>
      </w:r>
    </w:p>
    <w:bookmarkEnd w:id="12"/>
    <w:bookmarkStart w:id="13" w:name="X75a4a0ad2966144a3e656af07e437d818ed686a"/>
    <w:p>
      <w:pPr>
        <w:pStyle w:val="Heading2"/>
      </w:pPr>
      <w:r>
        <w:t xml:space="preserve">3. Margins, mix, and the incentive-comp lap</w:t>
      </w:r>
    </w:p>
    <w:p>
      <w:pPr>
        <w:pStyle w:val="Compact"/>
        <w:numPr>
          <w:ilvl w:val="0"/>
          <w:numId w:val="1002"/>
        </w:numPr>
      </w:pPr>
      <w:r>
        <w:t xml:space="preserve">Q3 gross margin expanded</w:t>
      </w:r>
      <w:r>
        <w:t xml:space="preserve"> </w:t>
      </w:r>
      <w:r>
        <w:rPr>
          <w:b/>
          <w:bCs/>
        </w:rPr>
        <w:t xml:space="preserve">+31 bps to 18.6%</w:t>
      </w:r>
      <w:r>
        <w:t xml:space="preserve">, aided by strategic sourcing, favorable local mix, and moderating inflation (enterprise ~2.8%, USBL only ~0.5%).</w:t>
      </w:r>
    </w:p>
    <w:p>
      <w:pPr>
        <w:pStyle w:val="Compact"/>
        <w:numPr>
          <w:ilvl w:val="0"/>
          <w:numId w:val="1002"/>
        </w:numPr>
      </w:pPr>
      <w:r>
        <w:t xml:space="preserve">The big FY26 optical drag —</w:t>
      </w:r>
      <w:r>
        <w:t xml:space="preserve"> </w:t>
      </w:r>
      <w:r>
        <w:rPr>
          <w:b/>
          <w:bCs/>
        </w:rPr>
        <w:t xml:space="preserve">~</w:t>
      </w:r>
      <m:oMath>
        <m:r>
          <m:t>100</m:t>
        </m:r>
        <m:r>
          <m:t>M</m:t>
        </m:r>
        <m:r>
          <m:rPr>
            <m:sty m:val="p"/>
          </m:rPr>
          <m:t>(</m:t>
        </m:r>
      </m:oMath>
      <w:r>
        <w:rPr>
          <w:b/>
          <w:bCs/>
        </w:rPr>
        <w:t xml:space="preserve">0.16/share) of incentive-comp lapping</w:t>
      </w:r>
      <w:r>
        <w:t xml:space="preserve"> </w:t>
      </w:r>
      <w:r>
        <w:t xml:space="preserve">— is largely behind the company after Q3. Only ~$11M of carryover hits Q4. Ex-incentive comp, management says FY26 adjusted EPS growth is at the high end of a ~5–7% algorithm.</w:t>
      </w:r>
    </w:p>
    <w:p>
      <w:pPr>
        <w:pStyle w:val="Compact"/>
        <w:numPr>
          <w:ilvl w:val="0"/>
          <w:numId w:val="1002"/>
        </w:numPr>
      </w:pPr>
      <w:r>
        <w:rPr>
          <w:b/>
          <w:bCs/>
        </w:rPr>
        <w:t xml:space="preserve">International</w:t>
      </w:r>
      <w:r>
        <w:t xml:space="preserve"> </w:t>
      </w:r>
      <w:r>
        <w:t xml:space="preserve">has been the quiet outperformer: 10 consecutive quarters of double-digit adjusted operating income growth (+12.5% in Q3, on +3.8% local case growth). Watch whether the streak extends and how much is FX-aided (FX added ~7% to international sales in Q3).</w:t>
      </w:r>
    </w:p>
    <w:p>
      <w:r>
        <w:pict>
          <v:rect style="width:0;height:1.5pt" o:hralign="center" o:hrstd="t" o:hr="t"/>
        </w:pict>
      </w:r>
    </w:p>
    <w:bookmarkEnd w:id="13"/>
    <w:bookmarkStart w:id="14" w:name="X22da40fe76fa051e9b6cdf16b9273ea324646db"/>
    <w:p>
      <w:pPr>
        <w:pStyle w:val="Heading2"/>
      </w:pPr>
      <w:r>
        <w:t xml:space="preserve">4. FY2027 guidance — the real swing factor</w:t>
      </w:r>
    </w:p>
    <w:p>
      <w:pPr>
        <w:pStyle w:val="FirstParagraph"/>
      </w:pPr>
      <w:r>
        <w:t xml:space="preserve">Because this is the year-end print, Sysco will introduce</w:t>
      </w:r>
      <w:r>
        <w:t xml:space="preserve"> </w:t>
      </w:r>
      <w:r>
        <w:rPr>
          <w:b/>
          <w:bCs/>
        </w:rPr>
        <w:t xml:space="preserve">initial FY2027 guidance</w:t>
      </w:r>
      <w:r>
        <w:t xml:space="preserve">. This is the highest-variance item in the report:</w:t>
      </w:r>
    </w:p>
    <w:p>
      <w:pPr>
        <w:pStyle w:val="Compact"/>
        <w:numPr>
          <w:ilvl w:val="0"/>
          <w:numId w:val="1003"/>
        </w:numPr>
      </w:pPr>
      <w:r>
        <w:t xml:space="preserve">Expect</w:t>
      </w:r>
      <w:r>
        <w:t xml:space="preserve"> </w:t>
      </w:r>
      <w:r>
        <w:rPr>
          <w:b/>
          <w:bCs/>
        </w:rPr>
        <w:t xml:space="preserve">standalone (ex-Jetro) guidance</w:t>
      </w:r>
      <w:r>
        <w:t xml:space="preserve">, since the deal isn't expected to close until ~Q3 FY27. Management has pointed to a long-term algorithm of ~mid-single-digit EPS growth and to continued local-volume momentum "into fiscal 2027."</w:t>
      </w:r>
    </w:p>
    <w:p>
      <w:pPr>
        <w:pStyle w:val="Compact"/>
        <w:numPr>
          <w:ilvl w:val="0"/>
          <w:numId w:val="1003"/>
        </w:numPr>
      </w:pPr>
      <w:r>
        <w:t xml:space="preserve">Two crosscurrents to reconcile: (a) the **suspended ~</w:t>
      </w:r>
      <m:oMath>
        <m:r>
          <m:t>800</m:t>
        </m:r>
        <m:r>
          <m:t>M</m:t>
        </m:r>
        <m:r>
          <m:t>b</m:t>
        </m:r>
        <m:r>
          <m:t>u</m:t>
        </m:r>
        <m:r>
          <m:t>y</m:t>
        </m:r>
        <m:r>
          <m:t>b</m:t>
        </m:r>
        <m:r>
          <m:t>a</m:t>
        </m:r>
        <m:r>
          <m:t>c</m:t>
        </m:r>
        <m:r>
          <m:t>k</m:t>
        </m:r>
        <m:r>
          <m:rPr>
            <m:sty m:val="p"/>
          </m:rPr>
          <m:t>*</m:t>
        </m:r>
        <m:r>
          <m:rPr>
            <m:sty m:val="p"/>
          </m:rPr>
          <m:t>*</m:t>
        </m:r>
        <m:r>
          <m:rPr>
            <m:sty m:val="p"/>
          </m:rPr>
          <m:t>(</m:t>
        </m:r>
        <m:r>
          <m:t>w</m:t>
        </m:r>
        <m:r>
          <m:t>o</m:t>
        </m:r>
        <m:r>
          <m:t>r</m:t>
        </m:r>
        <m:r>
          <m:t>t</m:t>
        </m:r>
        <m:r>
          <m:t>h</m:t>
        </m:r>
        <m:r>
          <m:t> </m:t>
        </m:r>
      </m:oMath>
      <w:r>
        <w:t xml:space="preserve">0.10/yr of EPS) removes a lever, but (b) the ~91.5M new shares for Jetro won't be in the base until close, and the</w:t>
      </w:r>
      <w:r>
        <w:t xml:space="preserve"> </w:t>
      </w:r>
      <w:r>
        <w:rPr>
          <w:b/>
          <w:bCs/>
        </w:rPr>
        <w:t xml:space="preserve">$60M cost program</w:t>
      </w:r>
      <w:r>
        <w:t xml:space="preserve"> </w:t>
      </w:r>
      <w:r>
        <w:t xml:space="preserve">carries over for three quarters of FY27.</w:t>
      </w:r>
    </w:p>
    <w:p>
      <w:pPr>
        <w:pStyle w:val="Compact"/>
        <w:numPr>
          <w:ilvl w:val="0"/>
          <w:numId w:val="1003"/>
        </w:numPr>
      </w:pPr>
      <w:r>
        <w:t xml:space="preserve">Any framing of pro-forma accretion (management guided</w:t>
      </w:r>
      <w:r>
        <w:t xml:space="preserve"> </w:t>
      </w:r>
      <w:r>
        <w:rPr>
          <w:b/>
          <w:bCs/>
        </w:rPr>
        <w:t xml:space="preserve">mid-to-high-single-digit EPS accretion in year 1</w:t>
      </w:r>
      <w:r>
        <w:t xml:space="preserve">, low-to-mid teens in year 2) will move the stock.</w:t>
      </w:r>
    </w:p>
    <w:p>
      <w:r>
        <w:pict>
          <v:rect style="width:0;height:1.5pt" o:hralign="center" o:hrstd="t" o:hr="t"/>
        </w:pict>
      </w:r>
    </w:p>
    <w:bookmarkEnd w:id="14"/>
    <w:bookmarkStart w:id="15" w:name="X1582bb4bd2e6fe31089b268b8e47e0fcbd36cbe"/>
    <w:p>
      <w:pPr>
        <w:pStyle w:val="Heading2"/>
      </w:pPr>
      <w:r>
        <w:t xml:space="preserve">5. The Jetro Restaurant Depot deal — the dominant narrative</w:t>
      </w:r>
    </w:p>
    <w:p>
      <w:pPr>
        <w:pStyle w:val="FirstParagraph"/>
      </w:pPr>
      <w:r>
        <w:t xml:space="preserve">Announced March 30, 2026 (right after Q3 quarter-end); the stock fell ~15% that day (from ~</w:t>
      </w:r>
      <m:oMath>
        <m:r>
          <m:t>82</m:t>
        </m:r>
        <m:r>
          <m:t>t</m:t>
        </m:r>
        <m:r>
          <m:t>o</m:t>
        </m:r>
        <m:r>
          <m:t> </m:t>
        </m:r>
      </m:oMath>
      <w:r>
        <w:t xml:space="preserve">69) as investors digested a large price tag for a previously private asset. It has since fully recovered to ~$85.</w:t>
      </w:r>
    </w:p>
    <w:p>
      <w:pPr>
        <w:pStyle w:val="BodyText"/>
      </w:pPr>
      <w:r>
        <w:t xml:space="preserve">Deal facts to anchor on:</w:t>
      </w:r>
    </w:p>
    <w:p>
      <w:pPr>
        <w:pStyle w:val="Compact"/>
        <w:numPr>
          <w:ilvl w:val="0"/>
          <w:numId w:val="1004"/>
        </w:numPr>
      </w:pPr>
      <w:r>
        <w:rPr>
          <w:b/>
          <w:bCs/>
        </w:rPr>
        <w:t xml:space="preserve">$29.1B</w:t>
      </w:r>
      <w:r>
        <w:t xml:space="preserve">, funded with cash + ~91.5M SYY shares. Restaurant Depot:</w:t>
      </w:r>
      <w:r>
        <w:t xml:space="preserve"> </w:t>
      </w:r>
      <w:r>
        <w:rPr>
          <w:b/>
          <w:bCs/>
        </w:rPr>
        <w:t xml:space="preserve">167 warehouse "cash-and-carry" stores, 35 states, 725k+ independent operators.</w:t>
      </w:r>
    </w:p>
    <w:p>
      <w:pPr>
        <w:pStyle w:val="Compact"/>
        <w:numPr>
          <w:ilvl w:val="0"/>
          <w:numId w:val="1004"/>
        </w:numPr>
      </w:pPr>
      <w:r>
        <w:rPr>
          <w:b/>
          <w:bCs/>
        </w:rPr>
        <w:t xml:space="preserve">CY2025: ~</w:t>
      </w:r>
      <m:oMath>
        <m:r>
          <m:t>16</m:t>
        </m:r>
        <m:r>
          <m:t>B</m:t>
        </m:r>
        <m:r>
          <m:t>r</m:t>
        </m:r>
        <m:r>
          <m:t>e</m:t>
        </m:r>
        <m:r>
          <m:t>v</m:t>
        </m:r>
        <m:r>
          <m:t>e</m:t>
        </m:r>
        <m:r>
          <m:t>n</m:t>
        </m:r>
        <m:r>
          <m:t>u</m:t>
        </m:r>
        <m:r>
          <m:t>e</m:t>
        </m:r>
        <m:r>
          <m:rPr>
            <m:sty m:val="p"/>
          </m:rPr>
          <m:t>,</m:t>
        </m:r>
        <m:r>
          <m:t> </m:t>
        </m:r>
      </m:oMath>
      <w:r>
        <w:rPr>
          <w:b/>
          <w:bCs/>
        </w:rPr>
        <w:t xml:space="preserve">2B EBITDA (13% margin), ~$1.9B unlevered FCF</w:t>
      </w:r>
      <w:r>
        <w:t xml:space="preserve">, CapEx &lt;1% of sales. Pro forma it lifts Sysco revenue ~20%, EBITDA ~45%, FCF ~55%, and expands enterprise EBITDA margin ~150 bps to ~6.7%.</w:t>
      </w:r>
    </w:p>
    <w:p>
      <w:pPr>
        <w:pStyle w:val="Compact"/>
        <w:numPr>
          <w:ilvl w:val="0"/>
          <w:numId w:val="1004"/>
        </w:numPr>
      </w:pPr>
      <w:r>
        <w:rPr>
          <w:b/>
          <w:bCs/>
        </w:rPr>
        <w:t xml:space="preserve">$250M net cost synergies</w:t>
      </w:r>
      <w:r>
        <w:t xml:space="preserve"> </w:t>
      </w:r>
      <w:r>
        <w:t xml:space="preserve">(buying/merchandising) ramping to full by year 3; no headcount cuts assumed; 5–6 net new stores/yr (125 over time) is the modeled revenue synergy.</w:t>
      </w:r>
    </w:p>
    <w:p>
      <w:pPr>
        <w:pStyle w:val="Compact"/>
        <w:numPr>
          <w:ilvl w:val="0"/>
          <w:numId w:val="1004"/>
        </w:numPr>
      </w:pPr>
      <w:r>
        <w:rPr>
          <w:b/>
          <w:bCs/>
        </w:rPr>
        <w:t xml:space="preserve">Balance sheet:</w:t>
      </w:r>
      <w:r>
        <w:t xml:space="preserve"> </w:t>
      </w:r>
      <w:r>
        <w:t xml:space="preserve">post-close net leverage ~4.5x, with a committed path to ~3.5x within 24 months and ~2.75x over time. Q3 leverage was 2.80x.</w:t>
      </w:r>
    </w:p>
    <w:p>
      <w:pPr>
        <w:pStyle w:val="FirstParagraph"/>
      </w:pPr>
      <w:r>
        <w:rPr>
          <w:b/>
          <w:bCs/>
        </w:rPr>
        <w:t xml:space="preserve">What to look for on the call:</w:t>
      </w:r>
    </w:p>
    <w:p>
      <w:pPr>
        <w:pStyle w:val="Compact"/>
        <w:numPr>
          <w:ilvl w:val="0"/>
          <w:numId w:val="1005"/>
        </w:numPr>
      </w:pPr>
      <w:r>
        <w:rPr>
          <w:b/>
          <w:bCs/>
        </w:rPr>
        <w:t xml:space="preserve">Regulatory/antitrust progress</w:t>
      </w:r>
      <w:r>
        <w:t xml:space="preserve"> </w:t>
      </w:r>
      <w:r>
        <w:t xml:space="preserve">— HSR review status, any second request, and whether the "close by Q3 FY27" timeline holds. This is the biggest de-risking event.</w:t>
      </w:r>
    </w:p>
    <w:p>
      <w:pPr>
        <w:pStyle w:val="Compact"/>
        <w:numPr>
          <w:ilvl w:val="0"/>
          <w:numId w:val="1005"/>
        </w:numPr>
      </w:pPr>
      <w:r>
        <w:rPr>
          <w:b/>
          <w:bCs/>
        </w:rPr>
        <w:t xml:space="preserve">Updated Restaurant Depot performance color</w:t>
      </w:r>
      <w:r>
        <w:t xml:space="preserve"> </w:t>
      </w:r>
      <w:r>
        <w:t xml:space="preserve">— last update was calendar Q1 volume</w:t>
      </w:r>
      <w:r>
        <w:t xml:space="preserve"> </w:t>
      </w:r>
      <w:r>
        <w:rPr>
          <w:b/>
          <w:bCs/>
        </w:rPr>
        <w:t xml:space="preserve">+4% with margins in line</w:t>
      </w:r>
      <w:r>
        <w:t xml:space="preserve">. Investors are skeptical about CapEx/labor "underinvestment" and margin durability; watch for more disclosure.</w:t>
      </w:r>
    </w:p>
    <w:p>
      <w:pPr>
        <w:pStyle w:val="Compact"/>
        <w:numPr>
          <w:ilvl w:val="0"/>
          <w:numId w:val="1005"/>
        </w:numPr>
      </w:pPr>
      <w:r>
        <w:rPr>
          <w:b/>
          <w:bCs/>
        </w:rPr>
        <w:t xml:space="preserve">Deleveraging commitment</w:t>
      </w:r>
      <w:r>
        <w:t xml:space="preserve"> </w:t>
      </w:r>
      <w:r>
        <w:t xml:space="preserve">— dividend safety (Dividend Aristocrat; FY27 quarterly dividend already raised $0.01 to $0.55) and when buybacks resume.</w:t>
      </w:r>
    </w:p>
    <w:p>
      <w:r>
        <w:pict>
          <v:rect style="width:0;height:1.5pt" o:hralign="center" o:hrstd="t" o:hr="t"/>
        </w:pict>
      </w:r>
    </w:p>
    <w:bookmarkEnd w:id="15"/>
    <w:bookmarkStart w:id="16" w:name="X98a2d603b86fb01fce89a0505c61e0c3b4f905a"/>
    <w:p>
      <w:pPr>
        <w:pStyle w:val="Heading2"/>
      </w:pPr>
      <w:r>
        <w:t xml:space="preserve">6. Other watch items</w:t>
      </w:r>
    </w:p>
    <w:p>
      <w:pPr>
        <w:pStyle w:val="Compact"/>
        <w:numPr>
          <w:ilvl w:val="0"/>
          <w:numId w:val="1006"/>
        </w:numPr>
      </w:pPr>
      <w:r>
        <w:rPr>
          <w:b/>
          <w:bCs/>
        </w:rPr>
        <w:t xml:space="preserve">CFO transition:</w:t>
      </w:r>
      <w:r>
        <w:t xml:space="preserve"> </w:t>
      </w:r>
      <w:r>
        <w:t xml:space="preserve">Brandon Sewell is</w:t>
      </w:r>
      <w:r>
        <w:t xml:space="preserve"> </w:t>
      </w:r>
      <w:r>
        <w:rPr>
          <w:i/>
          <w:iCs/>
        </w:rPr>
        <w:t xml:space="preserve">interim</w:t>
      </w:r>
      <w:r>
        <w:t xml:space="preserve"> </w:t>
      </w:r>
      <w:r>
        <w:t xml:space="preserve">CFO (former U.S. Foodservice CFO) after Kenny Cheung's departure; a permanent search is ongoing across internal/external candidates (Hourican has called Sewell a strong candidate). Watch for resolution — leadership stability matters ahead of a transformational deal.</w:t>
      </w:r>
    </w:p>
    <w:p>
      <w:pPr>
        <w:pStyle w:val="Compact"/>
        <w:numPr>
          <w:ilvl w:val="0"/>
          <w:numId w:val="1006"/>
        </w:numPr>
      </w:pPr>
      <w:r>
        <w:rPr>
          <w:b/>
          <w:bCs/>
        </w:rPr>
        <w:t xml:space="preserve">Free cash flow:</w:t>
      </w:r>
      <w:r>
        <w:t xml:space="preserve"> </w:t>
      </w:r>
      <w:r>
        <w:t xml:space="preserve">up 19% YTD to ~$1.1B; management is prioritizing cash preservation (buyback suspended, disciplined CapEx) ahead of the Jetro close. A strong FY26 FCF print supports the deleveraging story.</w:t>
      </w:r>
    </w:p>
    <w:p>
      <w:pPr>
        <w:pStyle w:val="Compact"/>
        <w:numPr>
          <w:ilvl w:val="0"/>
          <w:numId w:val="1006"/>
        </w:numPr>
      </w:pPr>
      <w:r>
        <w:rPr>
          <w:b/>
          <w:bCs/>
        </w:rPr>
        <w:t xml:space="preserve">Taylor Farms lettuce recall (mid-July):</w:t>
      </w:r>
      <w:r>
        <w:t xml:space="preserve"> </w:t>
      </w:r>
      <w:r>
        <w:t xml:space="preserve">Sysco was among distributors pulling shredded lettuce tied to a multi-state cyclosporiasis outbreak. Likely immaterial financially, but could surface as a Q1-FY27 operational footnote.</w:t>
      </w:r>
    </w:p>
    <w:p>
      <w:pPr>
        <w:pStyle w:val="Compact"/>
        <w:numPr>
          <w:ilvl w:val="0"/>
          <w:numId w:val="1006"/>
        </w:numPr>
      </w:pPr>
      <w:r>
        <w:rPr>
          <w:b/>
          <w:bCs/>
        </w:rPr>
        <w:t xml:space="preserve">Macro backdrop:</w:t>
      </w:r>
      <w:r>
        <w:t xml:space="preserve"> </w:t>
      </w:r>
      <w:r>
        <w:t xml:space="preserve">restaurant foot traffic remains negative and value-seeking behavior is elevated — a double-edged setup that pressures national chains but supports the strategic logic of moving into the resilient cash-and-carry channel.</w:t>
      </w:r>
    </w:p>
    <w:p>
      <w:r>
        <w:pict>
          <v:rect style="width:0;height:1.5pt" o:hralign="center" o:hrstd="t" o:hr="t"/>
        </w:pict>
      </w:r>
    </w:p>
    <w:bookmarkEnd w:id="16"/>
    <w:bookmarkStart w:id="17" w:name="Xce70cf923b2ea6e338df6a30a5f73d8cb9b961a"/>
    <w:p>
      <w:pPr>
        <w:pStyle w:val="Heading2"/>
      </w:pPr>
      <w:r>
        <w:t xml:space="preserve">7. How to think about the reaction</w:t>
      </w:r>
    </w:p>
    <w:p>
      <w:pPr>
        <w:pStyle w:val="Compact"/>
        <w:numPr>
          <w:ilvl w:val="0"/>
          <w:numId w:val="1007"/>
        </w:numPr>
      </w:pPr>
      <w:r>
        <w:rPr>
          <w:b/>
          <w:bCs/>
        </w:rPr>
        <w:t xml:space="preserve">Bull case for the print:</w:t>
      </w:r>
      <w:r>
        <w:t xml:space="preserve"> </w:t>
      </w:r>
      <w:r>
        <w:t xml:space="preserve">local volume ≥2.5% (ideally accelerating into the June exit rate), FY26 EPS at $4.60, constructive FY27 algorithm, and concrete regulatory progress + better RD disclosure. This reframes SYY as a self-help/volume-inflection story with a large accretive deal on top.</w:t>
      </w:r>
    </w:p>
    <w:p>
      <w:pPr>
        <w:pStyle w:val="Compact"/>
        <w:numPr>
          <w:ilvl w:val="0"/>
          <w:numId w:val="1007"/>
        </w:numPr>
      </w:pPr>
      <w:r>
        <w:rPr>
          <w:b/>
          <w:bCs/>
        </w:rPr>
        <w:t xml:space="preserve">Bear/risk case:</w:t>
      </w:r>
      <w:r>
        <w:t xml:space="preserve"> </w:t>
      </w:r>
      <w:r>
        <w:t xml:space="preserve">local volume decelerates or misses, FY27 guide disappoints (buyback loss + deal dilution optics), regulatory timeline slips, or the CFO seat stays unsettled. Given the stock has round-tripped back above pre-deal levels, expectations are no longer washed out.</w:t>
      </w:r>
    </w:p>
    <w:p>
      <w:pPr>
        <w:pStyle w:val="FirstParagraph"/>
      </w:pPr>
      <w:r>
        <w:rPr>
          <w:b/>
          <w:bCs/>
        </w:rPr>
        <w:t xml:space="preserve">Net:</w:t>
      </w:r>
      <w:r>
        <w:t xml:space="preserve"> </w:t>
      </w:r>
      <w:r>
        <w:t xml:space="preserve">the earnings numbers themselves are largely pre-baked; the share move should be dictated by the</w:t>
      </w:r>
      <w:r>
        <w:t xml:space="preserve"> </w:t>
      </w:r>
      <w:r>
        <w:rPr>
          <w:b/>
          <w:bCs/>
        </w:rPr>
        <w:t xml:space="preserve">local-volume trajectory into FY27, the initial FY27 guide, and any hard news on the Jetro deal's regulatory path and economics.</w:t>
      </w:r>
    </w:p>
    <w:p>
      <w:r>
        <w:pict>
          <v:rect style="width:0;height:1.5pt" o:hralign="center" o:hrstd="t" o:hr="t"/>
        </w:pict>
      </w:r>
    </w:p>
    <w:p>
      <w:pPr>
        <w:pStyle w:val="FirstParagraph"/>
      </w:pPr>
      <w:r>
        <w:rPr>
          <w:i/>
          <w:iCs/>
        </w:rPr>
        <w:t xml:space="preserve">Note: All figures above are drawn from Sysco's FY26 Q3 (April 2026) and FY25 Q4 (July 2025) earnings releases and call transcripts, plus market pricing through Aug 3, 2026. Actual Q4 consensus estimates from sell-side aggregators were not available in my sources; the "implied" EPS/sales figures are derived from company guidance and reported year-to-date results.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2026-08-04T00:58:26Z</dcterms:created>
  <dcterms:modified xsi:type="dcterms:W3CDTF">2026-08-04T00:58:26Z</dcterms:modified>
</cp:coreProperties>
</file>

<file path=docProps/custom.xml><?xml version="1.0" encoding="utf-8"?>
<Properties xmlns="http://schemas.openxmlformats.org/officeDocument/2006/custom-properties" xmlns:vt="http://schemas.openxmlformats.org/officeDocument/2006/docPropsVTypes"/>
</file>