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172bd39aa8666da0121227f1e434424dec6e654"/>
    <w:p>
      <w:pPr>
        <w:pStyle w:val="Heading1"/>
      </w:pPr>
      <w:r>
        <w:t xml:space="preserve">Sysco Corporation (SYY) — Q4 &amp; Full-Year Fiscal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2026, 10:00 a.m. ET |</w:t>
      </w:r>
      <w:r>
        <w:t xml:space="preserve"> </w:t>
      </w:r>
      <w:r>
        <w:rPr>
          <w:b/>
          <w:bCs/>
        </w:rPr>
        <w:t xml:space="preserve">Fiscal Period:</w:t>
      </w:r>
      <w:r>
        <w:t xml:space="preserve"> </w:t>
      </w:r>
      <w:r>
        <w:t xml:space="preserve">Q4 FY2026 (13 weeks ended ~June 27, 2026)</w:t>
      </w:r>
    </w:p>
    <w:p>
      <w:r>
        <w:pict>
          <v:rect style="width:0;height:1.5pt" o:hralign="center" o:hrstd="t" o:hr="t"/>
        </w:pict>
      </w:r>
    </w:p>
    <w:bookmarkStart w:id="9" w:name="X1bfc4ec5004533c8b6acc37d4a1a8af391f9a4a"/>
    <w:p>
      <w:pPr>
        <w:pStyle w:val="Heading2"/>
      </w:pPr>
      <w:r>
        <w:t xml:space="preserve">1. Setup: A "Normal" Quarter Overshadowed by a Transformational Deal</w:t>
      </w:r>
    </w:p>
    <w:p>
      <w:pPr>
        <w:pStyle w:val="FirstParagraph"/>
      </w:pPr>
      <w:r>
        <w:t xml:space="preserve">Sysco's Q4 print would ordinarily be a fairly formulaic update on volume trends, gross margin and cost control. But this quarter arrives against the backdrop of the largest, most controversial deal in the company's history — the pending</w:t>
      </w:r>
      <w:r>
        <w:t xml:space="preserve"> </w:t>
      </w:r>
      <w:r>
        <w:rPr>
          <w:b/>
          <w:bCs/>
        </w:rPr>
        <w:t xml:space="preserve">$29.1 billion acquisition of Jetro Restaurant Depot</w:t>
      </w:r>
      <w:r>
        <w:t xml:space="preserve"> </w:t>
      </w:r>
      <w:r>
        <w:t xml:space="preserve">— plus a recent, unplanned</w:t>
      </w:r>
      <w:r>
        <w:t xml:space="preserve"> </w:t>
      </w:r>
      <w:r>
        <w:rPr>
          <w:b/>
          <w:bCs/>
        </w:rPr>
        <w:t xml:space="preserve">CFO transition</w:t>
      </w:r>
      <w:r>
        <w:t xml:space="preserve">. Investors will be parsing both the "core" numbers and the deal's progress in equal measure.</w:t>
      </w:r>
    </w:p>
    <w:bookmarkEnd w:id="9"/>
    <w:bookmarkStart w:id="10" w:name="X0abac4cc85d1ecf17b7d4a9dd29a0e8a90d1748"/>
    <w:p>
      <w:pPr>
        <w:pStyle w:val="Heading2"/>
      </w:pPr>
      <w:r>
        <w:t xml:space="preserve">2. Core Business: What to Expect From the Quarter Itself</w:t>
      </w:r>
    </w:p>
    <w:p>
      <w:pPr>
        <w:pStyle w:val="FirstParagraph"/>
      </w:pPr>
      <w:r>
        <w:t xml:space="preserve">On the Q3 call (April 28, 2026), management set specific, high-confidence Q4 markers:</w:t>
      </w:r>
    </w:p>
    <w:p>
      <w:pPr>
        <w:pStyle w:val="Compact"/>
        <w:numPr>
          <w:ilvl w:val="0"/>
          <w:numId w:val="1001"/>
        </w:numPr>
      </w:pPr>
      <w:r>
        <w:t xml:space="preserve">"we remain confident in our expectations for full year adjusted EPS to be at the high end of our annual guidance range of $4.50 to $4.60", implying full-year sales growth of roughly 3–5% to approximately $84–85 billion.</w:t>
      </w:r>
    </w:p>
    <w:p>
      <w:pPr>
        <w:pStyle w:val="Compact"/>
        <w:numPr>
          <w:ilvl w:val="0"/>
          <w:numId w:val="1001"/>
        </w:numPr>
      </w:pPr>
      <w:r>
        <w:t xml:space="preserve">Management guided to</w:t>
      </w:r>
      <w:r>
        <w:t xml:space="preserve"> </w:t>
      </w:r>
      <w:r>
        <w:rPr>
          <w:b/>
          <w:bCs/>
        </w:rPr>
        <w:t xml:space="preserve">Q4 adjusted EPS of approximately $1.51</w:t>
      </w:r>
      <w:r>
        <w:t xml:space="preserve">, with local U.S. case volume growth of</w:t>
      </w:r>
      <w:r>
        <w:t xml:space="preserve"> </w:t>
      </w:r>
      <w:r>
        <w:rPr>
          <w:b/>
          <w:bCs/>
        </w:rPr>
        <w:t xml:space="preserve">at least 2.5%</w:t>
      </w:r>
      <w:r>
        <w:t xml:space="preserve"> </w:t>
      </w:r>
      <w:r>
        <w:t xml:space="preserve">— a targeted acceleration of roughly 120 bps on a two-year stack versus Q3.</w:t>
      </w:r>
    </w:p>
    <w:p>
      <w:pPr>
        <w:pStyle w:val="Compact"/>
        <w:numPr>
          <w:ilvl w:val="0"/>
          <w:numId w:val="1001"/>
        </w:numPr>
      </w:pPr>
      <w:r>
        <w:t xml:space="preserve">Modeling inputs given for Q4: interest expense ~</w:t>
      </w:r>
      <m:oMath>
        <m:r>
          <m:t>175</m:t>
        </m:r>
        <m:r>
          <m:rPr>
            <m:sty m:val="p"/>
          </m:rPr>
          <m:t>–</m:t>
        </m:r>
        <m:r>
          <m:t>180</m:t>
        </m:r>
        <m:r>
          <m:t>M</m:t>
        </m:r>
        <m:r>
          <m:rPr>
            <m:sty m:val="p"/>
          </m:rPr>
          <m:t>,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 </m:t>
        </m:r>
      </m:oMath>
      <w:r>
        <w:t xml:space="preserve">10M, tax rate ~24%, D&amp;A ~$210M.</w:t>
      </w:r>
    </w:p>
    <w:p>
      <w:pPr>
        <w:pStyle w:val="FirstParagraph"/>
      </w:pPr>
      <w:r>
        <w:t xml:space="preserve">Sell-side consensus is essentially in line with the company's own guidance — analysts are modeling</w:t>
      </w:r>
      <w:r>
        <w:t xml:space="preserve"> </w:t>
      </w:r>
      <w:r>
        <w:rPr>
          <w:b/>
          <w:bCs/>
        </w:rPr>
        <w:t xml:space="preserve">~</w:t>
      </w:r>
      <m:oMath>
        <m:r>
          <m:t>21.9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3.7</m:t>
        </m:r>
      </m:oMath>
      <w:r>
        <w:rPr>
          <w:b/>
          <w:bCs/>
        </w:rPr>
        <w:t xml:space="preserve">1.51 adjusted EPS</w:t>
      </w:r>
      <w:r>
        <w:t xml:space="preserve"> </w:t>
      </w:r>
      <w:r>
        <w:t xml:space="preserve">for the quarter, against a $1.48 EPS / $21.1B revenue base in the year-ago Q4. Notably, Sysco's stock has reacted negatively to "good" prints twice in the past year (down 2.6% after Q3, down 2.5% after last year's Q4) even when results beat estimates, so the bar for a positive stock reaction may be higher than the raw numbers suggest.</w:t>
      </w:r>
    </w:p>
    <w:p>
      <w:pPr>
        <w:pStyle w:val="BodyText"/>
      </w:pPr>
      <w:r>
        <w:rPr>
          <w:b/>
          <w:bCs/>
        </w:rPr>
        <w:t xml:space="preserve">Key underlying trends to watch: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Local (independent restaurant) case growth</w:t>
      </w:r>
      <w:r>
        <w:t xml:space="preserve"> </w:t>
      </w:r>
      <w:r>
        <w:t xml:space="preserve">— Q3 delivered 3.3% local growth, the strongest in three years, with a 210bp sequential improvement; management explicitly tied this to sales-force retention, productivity tools like "AI 360," and customer programs (Sysco Your Way, Perks 2.0) rather than a macro tailwind.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Gross margin</w:t>
      </w:r>
      <w:r>
        <w:t xml:space="preserve"> </w:t>
      </w:r>
      <w:r>
        <w:t xml:space="preserve">— Q3 expanded 31bps to 18.6% on strategic sourcing and improving Sysco Brand penetration; watch for continuation.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National contract/chain restaurant softness</w:t>
      </w:r>
      <w:r>
        <w:t xml:space="preserve"> </w:t>
      </w:r>
      <w:r>
        <w:t xml:space="preserve">— national case growth was just 1.4% in Q3, dragged by declining chain-restaurant traffic, partially offset by strength in healthcare, travel/hospitality, and education contract wins.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International</w:t>
      </w:r>
      <w:r>
        <w:t xml:space="preserve"> </w:t>
      </w:r>
      <w:r>
        <w:t xml:space="preserve">— a consistent bright spot, with 10 consecutive quarters of double-digit adjusted operating income growth (12.5% in Q3) and 3.8% local case growth.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Leverage heading into Q4</w:t>
      </w:r>
      <w:r>
        <w:t xml:space="preserve"> </w:t>
      </w:r>
      <w:r>
        <w:t xml:space="preserve">— net debt/EBITDA stood at 2.80x exiting Q3, before the RD deal's financing impact.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Buyback suspension drag</w:t>
      </w:r>
      <w:r>
        <w:t xml:space="preserve"> </w:t>
      </w:r>
      <w:r>
        <w:t xml:space="preserve">— Sysco suspended ~$800 million of planned share repurchases to preserve cash ahead of the RD closing, a headwind worth roughly $0.10/share annually to EPS that guidance already absorbs.</w:t>
      </w:r>
    </w:p>
    <w:bookmarkEnd w:id="10"/>
    <w:bookmarkStart w:id="11" w:name="Xe884d6744d224cf1c15d548ca97605b574ae8c6"/>
    <w:p>
      <w:pPr>
        <w:pStyle w:val="Heading2"/>
      </w:pPr>
      <w:r>
        <w:t xml:space="preserve">3. The Big Story: The Jetro Restaurant Depot Acquisition</w:t>
      </w:r>
    </w:p>
    <w:p>
      <w:pPr>
        <w:pStyle w:val="FirstParagraph"/>
      </w:pPr>
      <w:r>
        <w:t xml:space="preserve">Announced March 30, 2026, this is a fundamentally new chapter for Sysco and will dominate Q&amp;A on the call.</w:t>
      </w:r>
    </w:p>
    <w:p>
      <w:pPr>
        <w:pStyle w:val="BodyText"/>
      </w:pPr>
      <w:r>
        <w:rPr>
          <w:b/>
          <w:bCs/>
        </w:rPr>
        <w:t xml:space="preserve">Deal structure:</w:t>
      </w:r>
    </w:p>
    <w:p>
      <w:pPr>
        <w:pStyle w:val="Compact"/>
        <w:numPr>
          <w:ilvl w:val="0"/>
          <w:numId w:val="1003"/>
        </w:numPr>
      </w:pPr>
      <w:r>
        <w:t xml:space="preserve">Total transaction value of</w:t>
      </w:r>
      <w:r>
        <w:t xml:space="preserve"> </w:t>
      </w:r>
      <w:r>
        <w:rPr>
          <w:b/>
          <w:bCs/>
        </w:rPr>
        <w:t xml:space="preserve">$29.1 billion</w:t>
      </w:r>
      <w:r>
        <w:t xml:space="preserve"> </w:t>
      </w:r>
      <w:r>
        <w:t xml:space="preserve">— $21.6 billion cash plus</w:t>
      </w:r>
      <w:r>
        <w:t xml:space="preserve"> </w:t>
      </w:r>
      <w:r>
        <w:rPr>
          <w:b/>
          <w:bCs/>
        </w:rPr>
        <w:t xml:space="preserve">91.5 million shares of Sysco stock</w:t>
      </w:r>
      <w:r>
        <w:t xml:space="preserve"> </w:t>
      </w:r>
      <w:r>
        <w:t xml:space="preserve">(~19.1% of outstanding shares), implying 14.6x adjusted operating income (13.0x including synergies).</w:t>
      </w:r>
    </w:p>
    <w:p>
      <w:pPr>
        <w:pStyle w:val="Compact"/>
        <w:numPr>
          <w:ilvl w:val="0"/>
          <w:numId w:val="1003"/>
        </w:numPr>
      </w:pPr>
      <w:r>
        <w:t xml:space="preserve">Structured as a reverse merger: Sysco becomes a subsidiary of a new public holding company ("New Slider Holdco"), with existing Sysco shares converting 1-for-1 into HoldCo shares that continue trading as</w:t>
      </w:r>
      <w:r>
        <w:t xml:space="preserve"> </w:t>
      </w:r>
      <w:r>
        <w:rPr>
          <w:b/>
          <w:bCs/>
        </w:rPr>
        <w:t xml:space="preserve">SYY on the NYSE</w:t>
      </w:r>
      <w:r>
        <w:t xml:space="preserve"> </w:t>
      </w:r>
      <w:r>
        <w:t xml:space="preserve">— importantly,</w:t>
      </w:r>
      <w:r>
        <w:t xml:space="preserve"> </w:t>
      </w:r>
      <w:r>
        <w:rPr>
          <w:b/>
          <w:bCs/>
        </w:rPr>
        <w:t xml:space="preserve">no Sysco shareholder vote is required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Cash funded via</w:t>
      </w:r>
      <w:r>
        <w:t xml:space="preserve"> </w:t>
      </w:r>
      <w:r>
        <w:rPr>
          <w:b/>
          <w:bCs/>
        </w:rPr>
        <w:t xml:space="preserve">$21 billion of new debt/hybrid debt</w:t>
      </w:r>
      <w:r>
        <w:t xml:space="preserve"> </w:t>
      </w:r>
      <w:r>
        <w:t xml:space="preserve">(including a</w:t>
      </w:r>
      <w:r>
        <w:t xml:space="preserve"> </w:t>
      </w:r>
      <m:oMath>
        <m:r>
          <m:t>22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364</m:t>
        </m:r>
        <m:r>
          <m:rPr>
            <m:sty m:val="p"/>
          </m:rPr>
          <m:t>−</m:t>
        </m:r>
        <m:r>
          <m:t>d</m:t>
        </m:r>
        <m:r>
          <m:t>a</m:t>
        </m:r>
        <m:r>
          <m:t>y</m:t>
        </m:r>
        <m:r>
          <m:t>b</m:t>
        </m:r>
        <m:r>
          <m:t>r</m:t>
        </m:r>
        <m:r>
          <m:t>i</m:t>
        </m:r>
        <m:r>
          <m:t>d</m:t>
        </m:r>
        <m:r>
          <m:t>g</m:t>
        </m:r>
        <m:r>
          <m:t>e</m:t>
        </m:r>
        <m:r>
          <m:t>c</m:t>
        </m:r>
        <m:r>
          <m:t>o</m:t>
        </m:r>
        <m:r>
          <m:t>m</m:t>
        </m:r>
        <m:r>
          <m:t>m</m:t>
        </m:r>
        <m:r>
          <m:t>i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)</m:t>
        </m:r>
        <m:r>
          <m:t>p</m:t>
        </m:r>
        <m:r>
          <m:t>l</m:t>
        </m:r>
        <m:r>
          <m:t>u</m:t>
        </m:r>
        <m:r>
          <m:t>s</m:t>
        </m:r>
        <m:r>
          <m:t> </m:t>
        </m:r>
      </m:oMath>
      <w:r>
        <w:t xml:space="preserve">1 billion of cash/equity.</w:t>
      </w:r>
    </w:p>
    <w:p>
      <w:pPr>
        <w:pStyle w:val="Compact"/>
        <w:numPr>
          <w:ilvl w:val="0"/>
          <w:numId w:val="1003"/>
        </w:numPr>
      </w:pPr>
      <w:r>
        <w:t xml:space="preserve">Expected to close by</w:t>
      </w:r>
      <w:r>
        <w:t xml:space="preserve"> </w:t>
      </w:r>
      <w:r>
        <w:rPr>
          <w:b/>
          <w:bCs/>
        </w:rPr>
        <w:t xml:space="preserve">approximately Q3 of fiscal 2027</w:t>
      </w:r>
      <w:r>
        <w:t xml:space="preserve">, subject to HSR/antitrust clearance, SEC effectiveness of the Form S-4 (filed July 1, 2026, not yet effective), and NYSE listing approval.</w:t>
      </w:r>
    </w:p>
    <w:p>
      <w:pPr>
        <w:pStyle w:val="FirstParagraph"/>
      </w:pPr>
      <w:r>
        <w:rPr>
          <w:b/>
          <w:bCs/>
        </w:rPr>
        <w:t xml:space="preserve">Why Sysco wants it:</w:t>
      </w:r>
      <w:r>
        <w:t xml:space="preserve"> </w:t>
      </w:r>
      <w:r>
        <w:t xml:space="preserve">Restaurant Depot is the #1 player in the $60–70 billion U.S. cash-and-carry channel, generating roughly</w:t>
      </w:r>
      <w:r>
        <w:t xml:space="preserve"> </w:t>
      </w:r>
      <m:oMath>
        <m:r>
          <m:t>16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F</m:t>
        </m:r>
        <m:r>
          <m:t>Y</m:t>
        </m:r>
        <m:r>
          <m:t>2025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a</m:t>
        </m:r>
        <m:r>
          <m:t>t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13</m:t>
        </m:r>
      </m:oMath>
      <w:r>
        <w:t xml:space="preserve">1.9 billion and &gt;90% FCF conversion, thanks to negative net working capital and capex under 1% of sales. Management frames the combination as creating a "preeminent multi-channel foodservice distribution platform" that:</w:t>
      </w:r>
    </w:p>
    <w:p>
      <w:pPr>
        <w:pStyle w:val="Compact"/>
        <w:numPr>
          <w:ilvl w:val="0"/>
          <w:numId w:val="1004"/>
        </w:numPr>
      </w:pPr>
      <w:r>
        <w:t xml:space="preserve">Increases Sysco's local (most profitable) revenue by</w:t>
      </w:r>
      <w:r>
        <w:t xml:space="preserve"> </w:t>
      </w:r>
      <w:r>
        <w:rPr>
          <w:b/>
          <w:bCs/>
        </w:rPr>
        <w:t xml:space="preserve">1.5x</w:t>
      </w:r>
    </w:p>
    <w:p>
      <w:pPr>
        <w:pStyle w:val="Compact"/>
        <w:numPr>
          <w:ilvl w:val="0"/>
          <w:numId w:val="1004"/>
        </w:numPr>
      </w:pPr>
      <w:r>
        <w:t xml:space="preserve">Expands pro forma EBITDA margin ~150bps to 6.7%, lifts pro forma revenue/EBITDA/FCF by ~20%/45%/55%</w:t>
      </w:r>
    </w:p>
    <w:p>
      <w:pPr>
        <w:pStyle w:val="Compact"/>
        <w:numPr>
          <w:ilvl w:val="0"/>
          <w:numId w:val="1004"/>
        </w:numPr>
      </w:pPr>
      <w:r>
        <w:t xml:space="preserve">Targets</w:t>
      </w:r>
      <w:r>
        <w:t xml:space="preserve"> </w:t>
      </w:r>
      <w:r>
        <w:rPr>
          <w:b/>
          <w:bCs/>
        </w:rPr>
        <w:t xml:space="preserve">$250 million of annualized net cost synergies by year 3</w:t>
      </w:r>
      <w:r>
        <w:t xml:space="preserve"> </w:t>
      </w:r>
      <w:r>
        <w:t xml:space="preserve">(mostly procurement/merchandising, no headcount cuts) and a pipeline of</w:t>
      </w:r>
      <w:r>
        <w:t xml:space="preserve"> </w:t>
      </w:r>
      <w:r>
        <w:rPr>
          <w:b/>
          <w:bCs/>
        </w:rPr>
        <w:t xml:space="preserve">125+ net new Restaurant Depot stores</w:t>
      </w:r>
      <w:r>
        <w:t xml:space="preserve"> </w:t>
      </w:r>
      <w:r>
        <w:t xml:space="preserve">over the next two decades</w:t>
      </w:r>
    </w:p>
    <w:p>
      <w:pPr>
        <w:pStyle w:val="Compact"/>
        <w:numPr>
          <w:ilvl w:val="0"/>
          <w:numId w:val="1004"/>
        </w:numPr>
      </w:pPr>
      <w:r>
        <w:t xml:space="preserve">Is expected to be</w:t>
      </w:r>
      <w:r>
        <w:t xml:space="preserve"> </w:t>
      </w:r>
      <w:r>
        <w:rPr>
          <w:b/>
          <w:bCs/>
        </w:rPr>
        <w:t xml:space="preserve">mid-to-high single digit EPS accretive in Year 1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low-to-mid teens accretive in Year 2</w:t>
      </w:r>
      <w:r>
        <w:t xml:space="preserve">, with &gt;$2 billion of incremental annual free cash flow by year 4</w:t>
      </w:r>
    </w:p>
    <w:p>
      <w:pPr>
        <w:pStyle w:val="FirstParagraph"/>
      </w:pPr>
      <w:r>
        <w:rPr>
          <w:b/>
          <w:bCs/>
        </w:rPr>
        <w:t xml:space="preserve">The costs and risks:</w:t>
      </w:r>
    </w:p>
    <w:p>
      <w:pPr>
        <w:pStyle w:val="Compact"/>
        <w:numPr>
          <w:ilvl w:val="0"/>
          <w:numId w:val="1005"/>
        </w:numPr>
      </w:pPr>
      <w:r>
        <w:t xml:space="preserve">Leverage jumps to</w:t>
      </w:r>
      <w:r>
        <w:t xml:space="preserve"> </w:t>
      </w:r>
      <w:r>
        <w:rPr>
          <w:b/>
          <w:bCs/>
        </w:rPr>
        <w:t xml:space="preserve">~4.5x net debt/EBITDA at close</w:t>
      </w:r>
      <w:r>
        <w:t xml:space="preserve">, with management committing to delever to ~3.5x within 24 months and a longer-term target of 2.75x — a key credibility test for the new CFO team.</w:t>
      </w:r>
    </w:p>
    <w:p>
      <w:pPr>
        <w:pStyle w:val="Compact"/>
        <w:numPr>
          <w:ilvl w:val="0"/>
          <w:numId w:val="1005"/>
        </w:numPr>
      </w:pPr>
      <w:r>
        <w:t xml:space="preserve">The market's initial reaction was harsh: Sysco shares fell from $81.80 (3/27) to $69.30 (3/30), and coverage noted the "market's verdict was immediate: Sysco stock fell as much as 14.8% on the day, its worst single-day performance since 2020".</w:t>
      </w:r>
    </w:p>
    <w:p>
      <w:pPr>
        <w:pStyle w:val="Compact"/>
        <w:numPr>
          <w:ilvl w:val="0"/>
          <w:numId w:val="1005"/>
        </w:numPr>
      </w:pPr>
      <w:r>
        <w:t xml:space="preserve">Rating agencies moved quickly — "Credit rating agencies responded cautiously to the announcement. Fitch placed Sysco on 'rating watch negative,' while Moody's said it is reviewing the company's ratings for a possible downgrade" — and Moody's subsequently downgraded Sysco's senior unsecured rating to Baa2 from Baa1.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Antitrust overhang</w:t>
      </w:r>
      <w:r>
        <w:t xml:space="preserve">: this is not a rubber-stamp deal. "The Independent Restaurant Coalition is calling on the U.S. Federal Trade Commission to block Sysco's proposed acquisition of Restaurant Depot, saying that the deal would eliminate a crucial alternative used by many local operators", and commentators note the deal "almost certain to face challenges from the FTC which blocked another big swing by Sysco a decade ago" (its failed 2015 US Foods merger).</w:t>
      </w:r>
    </w:p>
    <w:p>
      <w:pPr>
        <w:pStyle w:val="Compact"/>
        <w:numPr>
          <w:ilvl w:val="0"/>
          <w:numId w:val="1005"/>
        </w:numPr>
      </w:pPr>
      <w:r>
        <w:t xml:space="preserve">Since the March selloff, sentiment has partially stabilized — Guggenheim raised its price target to $95 (from</w:t>
      </w:r>
      <w:r>
        <w:t xml:space="preserve"> </w:t>
      </w:r>
      <w:r>
        <w:t xml:space="preserve">$91), maintaining a Buy on a "manageable debt refinancing outlook," and the stock has recovered to the mid-$</w:t>
      </w:r>
      <w:r>
        <w:t xml:space="preserve">80s (closing around $85 on Aug 1), roughly back near pre-announcement levels.</w:t>
      </w:r>
    </w:p>
    <w:p>
      <w:pPr>
        <w:pStyle w:val="FirstParagraph"/>
      </w:pPr>
      <w:r>
        <w:t xml:space="preserve">On the Q3 call, CEO Kevin Hourican directly addressed investor skepticism: "What we've heard from investors over the past 3 weeks... is the more they get to know the asset of Restaurant Depot, the more excited they are about the acquisition." He also disclosed an interim performance update — Restaurant Depot's most recent completed quarter showed</w:t>
      </w:r>
      <w:r>
        <w:t xml:space="preserve"> </w:t>
      </w:r>
      <w:r>
        <w:rPr>
          <w:b/>
          <w:bCs/>
        </w:rPr>
        <w:t xml:space="preserve">~4% volume growth with profitability in line with expectations</w:t>
      </w:r>
      <w:r>
        <w:t xml:space="preserve"> </w:t>
      </w:r>
      <w:r>
        <w:t xml:space="preserve">— and this call is a natural venue for an updated read.</w:t>
      </w:r>
    </w:p>
    <w:bookmarkEnd w:id="11"/>
    <w:bookmarkStart w:id="12" w:name="Xd1a5aa876bd90b895b8ed34071154550565e182"/>
    <w:p>
      <w:pPr>
        <w:pStyle w:val="Heading2"/>
      </w:pPr>
      <w:r>
        <w:t xml:space="preserve">4. Leadership Transition</w:t>
      </w:r>
    </w:p>
    <w:p>
      <w:pPr>
        <w:pStyle w:val="FirstParagraph"/>
      </w:pPr>
      <w:r>
        <w:t xml:space="preserve">Sysco is also navigating a CFO change: long-time finance leader</w:t>
      </w:r>
      <w:r>
        <w:t xml:space="preserve"> </w:t>
      </w:r>
      <w:r>
        <w:rPr>
          <w:b/>
          <w:bCs/>
        </w:rPr>
        <w:t xml:space="preserve">Brandon Sewell</w:t>
      </w:r>
      <w:r>
        <w:t xml:space="preserve"> </w:t>
      </w:r>
      <w:r>
        <w:t xml:space="preserve">(previously CFO of the U.S. Foodservice segment) stepped in as</w:t>
      </w:r>
      <w:r>
        <w:t xml:space="preserve"> </w:t>
      </w:r>
      <w:r>
        <w:rPr>
          <w:b/>
          <w:bCs/>
        </w:rPr>
        <w:t xml:space="preserve">Interim CFO</w:t>
      </w:r>
      <w:r>
        <w:t xml:space="preserve"> </w:t>
      </w:r>
      <w:r>
        <w:t xml:space="preserve">following the CFO departure disclosed earlier this year, while a permanent search continues. This is only his second quarterly earnings call in the seat, and continuity of messaging on synergy targets and deleveraging commitments will be watched closely.</w:t>
      </w:r>
    </w:p>
    <w:bookmarkEnd w:id="12"/>
    <w:bookmarkStart w:id="13" w:name="X29ee1ad0714bb05d00aea7c6825354321dbe8ed"/>
    <w:p>
      <w:pPr>
        <w:pStyle w:val="Heading2"/>
      </w:pPr>
      <w:r>
        <w:t xml:space="preserve">5. What to Watch on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Q4 print vs. guidance</w:t>
      </w:r>
      <w:r>
        <w:t xml:space="preserve"> </w:t>
      </w:r>
      <w:r>
        <w:t xml:space="preserve">— Did local case growth hit/exceed the ≥2.5% target, and did EPS land at/above ~$1.51? Confirmation of full-year EPS at the high end of</w:t>
      </w:r>
      <w:r>
        <w:t xml:space="preserve"> </w:t>
      </w:r>
      <m:oMath>
        <m:r>
          <m:t>4.50</m:t>
        </m:r>
        <m:r>
          <m:rPr>
            <m:sty m:val="p"/>
          </m:rPr>
          <m:t>–</m:t>
        </m:r>
      </m:oMath>
      <w:r>
        <w:t xml:space="preserve">4.60.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Initial FY2027 framework</w:t>
      </w:r>
      <w:r>
        <w:t xml:space="preserve"> </w:t>
      </w:r>
      <w:r>
        <w:t xml:space="preserve">— how the company talks about its long-term EPS growth algorithm given the pending (not yet closed) RD deal, and whether any preliminary FY27 guidance excludes/includes RD.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Deal timeline</w:t>
      </w:r>
      <w:r>
        <w:t xml:space="preserve"> </w:t>
      </w:r>
      <w:r>
        <w:t xml:space="preserve">— status of the S-4 registration, HSR/antitrust progress, and whether the "Q3 FY2027" close target is reaffirmed.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Restaurant Depot trading update</w:t>
      </w:r>
      <w:r>
        <w:t xml:space="preserve"> </w:t>
      </w:r>
      <w:r>
        <w:t xml:space="preserve">— any fresher volume/profitability color from Jetro's most recent quarter.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Financing execution</w:t>
      </w:r>
      <w:r>
        <w:t xml:space="preserve"> </w:t>
      </w:r>
      <w:r>
        <w:t xml:space="preserve">— progress converting the bridge facility into permanent debt/hybrid securities, and the deleveraging glide path.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allocation</w:t>
      </w:r>
      <w:r>
        <w:t xml:space="preserve"> </w:t>
      </w:r>
      <w:r>
        <w:t xml:space="preserve">— confirmation buybacks remain paused, dividend growth cadence (quarterly dividend already raised a penny to $0.55 for FY27), and Dividend Aristocrat status.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Permanent CFO search</w:t>
      </w:r>
      <w:r>
        <w:t xml:space="preserve"> </w:t>
      </w:r>
      <w:r>
        <w:t xml:space="preserve">update.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National vs. local demand trends</w:t>
      </w:r>
      <w:r>
        <w:t xml:space="preserve"> </w:t>
      </w:r>
      <w:r>
        <w:t xml:space="preserve">and the broader restaurant-traffic backdrop (Black Box industry traffic has been running negative).</w:t>
      </w:r>
    </w:p>
    <w:bookmarkEnd w:id="13"/>
    <w:bookmarkStart w:id="14" w:name="X49e34d9056703e0521ab3ce2e920b2c4ba97a36"/>
    <w:p>
      <w:pPr>
        <w:pStyle w:val="Heading2"/>
      </w:pPr>
      <w:r>
        <w:t xml:space="preserve">6. Bottom Line</w:t>
      </w:r>
    </w:p>
    <w:p>
      <w:pPr>
        <w:pStyle w:val="FirstParagraph"/>
      </w:pPr>
      <w:r>
        <w:t xml:space="preserve">The Q4 operating results themselves look likely to be a relatively clean beat-or-meet versus a guidance range management has reiterated confidently all year, powered by accelerating local case growth, gross margin discipline, and a strong International segment. The more important swing factor for the stock is</w:t>
      </w:r>
      <w:r>
        <w:t xml:space="preserve"> </w:t>
      </w:r>
      <w:r>
        <w:rPr>
          <w:b/>
          <w:bCs/>
        </w:rPr>
        <w:t xml:space="preserve">execution credibility on the Restaurant Depot deal</w:t>
      </w:r>
      <w:r>
        <w:t xml:space="preserve"> </w:t>
      </w:r>
      <w:r>
        <w:t xml:space="preserve">— regulatory clearance risk, financing costs, leverage trajectory, and whether management can keep reinforcing the "day-one accretive, resilient, high-margin" narrative that has only partially won over the Street since March's sharp selloff. Expect Q&amp;A to focus disproportionately on RD rather than on Sysco's underlying foodservice business.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2026-08-04T01:02:19Z</dcterms:created>
  <dcterms:modified xsi:type="dcterms:W3CDTF">2026-08-04T01:02:19Z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