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syy-fiscal-q4-2026-earnings-preview"/>
    <w:p>
      <w:pPr>
        <w:pStyle w:val="Heading1"/>
      </w:pPr>
      <w:r>
        <w:t xml:space="preserve">SYY Fiscal Q4 2026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Sysco reports</w:t>
      </w:r>
      <w:r>
        <w:t xml:space="preserve"> </w:t>
      </w:r>
      <w:r>
        <w:rPr>
          <w:b/>
          <w:bCs/>
        </w:rPr>
        <w:t xml:space="preserve">today, Tuesday, August 4, 2026</w:t>
      </w:r>
      <w:r>
        <w:t xml:space="preserve">, before the market opens—not tomorrow. The earnings call begins at</w:t>
      </w:r>
      <w:r>
        <w:t xml:space="preserve"> </w:t>
      </w:r>
      <w:r>
        <w:rPr>
          <w:b/>
          <w:bCs/>
        </w:rPr>
        <w:t xml:space="preserve">10:00 a.m. ET</w:t>
      </w:r>
      <w:r>
        <w:t xml:space="preserve">. (</w:t>
      </w:r>
      <w:hyperlink r:id="rId9">
        <w:r>
          <w:rPr>
            <w:rStyle w:val="Hyperlink"/>
          </w:rPr>
          <w:t xml:space="preserve">investors.sysco.com</w:t>
        </w:r>
      </w:hyperlink>
      <w:r>
        <w:t xml:space="preserve">)</w:t>
      </w:r>
    </w:p>
    <w:bookmarkStart w:id="11" w:name="the-setup"/>
    <w:p>
      <w:pPr>
        <w:pStyle w:val="Heading2"/>
      </w:pPr>
      <w:r>
        <w:t xml:space="preserve">The setup</w:t>
      </w:r>
    </w:p>
    <w:p>
      <w:pPr>
        <w:pStyle w:val="FirstParagraph"/>
      </w:pPr>
      <w:r>
        <w:t xml:space="preserve">Sysco’s fourth-quarter numbers are unusually well telegraphed. Management previously guided to approximately</w:t>
      </w:r>
      <w:r>
        <w:t xml:space="preserve"> </w:t>
      </w:r>
      <m:oMath>
        <m:r>
          <m:t>1.51</m:t>
        </m:r>
        <m:r>
          <m:t>o</m:t>
        </m:r>
        <m:r>
          <m:t>f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P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s</m:t>
        </m:r>
        <m:r>
          <m:t>a</m:t>
        </m:r>
        <m:r>
          <m:t>m</m:t>
        </m:r>
        <m:r>
          <m:t>e</m:t>
        </m:r>
        <m:r>
          <m:t>a</m:t>
        </m:r>
        <m:r>
          <m:t>s</m:t>
        </m:r>
        <m:r>
          <m:t>c</m:t>
        </m:r>
        <m:r>
          <m:t>u</m:t>
        </m:r>
        <m:r>
          <m:t>r</m:t>
        </m:r>
        <m:r>
          <m:t>r</m:t>
        </m:r>
        <m:r>
          <m:t>e</m:t>
        </m:r>
        <m:r>
          <m:t>n</m:t>
        </m:r>
        <m:r>
          <m:t>t</m:t>
        </m:r>
        <m:r>
          <m:t>c</m:t>
        </m:r>
        <m:r>
          <m:t>o</m:t>
        </m:r>
        <m:r>
          <m:t>n</m:t>
        </m:r>
        <m:r>
          <m:t>s</m:t>
        </m:r>
        <m:r>
          <m:t>e</m:t>
        </m:r>
        <m:r>
          <m:t>n</m:t>
        </m:r>
        <m:r>
          <m:t>s</m:t>
        </m:r>
        <m:r>
          <m:t>u</m:t>
        </m:r>
        <m:r>
          <m:t>s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s</m:t>
        </m:r>
        <m:r>
          <m:t>a</m:t>
        </m:r>
        <m:r>
          <m:t>i</m:t>
        </m:r>
        <m:r>
          <m:t>d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P</m:t>
        </m:r>
        <m:r>
          <m:t>S</m:t>
        </m:r>
        <m:r>
          <m:t>s</m:t>
        </m:r>
        <m:r>
          <m:t>h</m:t>
        </m:r>
        <m:r>
          <m:t>o</m:t>
        </m:r>
        <m:r>
          <m:t>u</m:t>
        </m:r>
        <m:r>
          <m:t>l</m:t>
        </m:r>
        <m:r>
          <m:t>d</m:t>
        </m:r>
        <m:r>
          <m:t>f</m:t>
        </m:r>
        <m:r>
          <m:t>i</m:t>
        </m:r>
        <m:r>
          <m:t>n</m:t>
        </m:r>
        <m:r>
          <m:t>i</m:t>
        </m:r>
        <m:r>
          <m:t>s</m:t>
        </m:r>
        <m:r>
          <m:t>h</m:t>
        </m:r>
        <m:r>
          <m:t>a</m:t>
        </m:r>
        <m:r>
          <m:t>t</m:t>
        </m:r>
        <m:r>
          <m:t>t</m:t>
        </m:r>
        <m:r>
          <m:t>h</m:t>
        </m:r>
        <m:r>
          <m:t>e</m:t>
        </m:r>
        <m:r>
          <m:t>h</m:t>
        </m:r>
        <m:r>
          <m:t>i</m:t>
        </m:r>
        <m:r>
          <m:t>g</m:t>
        </m:r>
        <m:r>
          <m:t>h</m:t>
        </m:r>
        <m:r>
          <m:t>e</m:t>
        </m:r>
        <m:r>
          <m:t>n</m:t>
        </m:r>
        <m:r>
          <m:t>d</m:t>
        </m:r>
        <m:r>
          <m:t>o</m:t>
        </m:r>
        <m:r>
          <m:t>f</m:t>
        </m:r>
        <m:r>
          <m:t>i</m:t>
        </m:r>
        <m:r>
          <m:t>t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4.50–</w:t>
      </w:r>
      <m:oMath>
        <m:r>
          <m:t>4.60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r</m:t>
        </m:r>
        <m:r>
          <m:t>a</m:t>
        </m:r>
        <m:r>
          <m:t>n</m:t>
        </m:r>
        <m:r>
          <m:t>g</m:t>
        </m:r>
        <m:r>
          <m:t>e</m:t>
        </m:r>
        <m:r>
          <m:rPr>
            <m:sty m:val="p"/>
          </m:rPr>
          <m:t>.</m:t>
        </m:r>
        <m:r>
          <m:t>C</m:t>
        </m:r>
        <m:r>
          <m:t>o</m:t>
        </m:r>
        <m:r>
          <m:t>n</m:t>
        </m:r>
        <m:r>
          <m:t>s</m:t>
        </m:r>
        <m:r>
          <m:t>e</m:t>
        </m:r>
        <m:r>
          <m:t>n</m:t>
        </m:r>
        <m:r>
          <m:t>s</m:t>
        </m:r>
        <m:r>
          <m:t>u</m:t>
        </m:r>
        <m:r>
          <m:t>s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i</m:t>
        </m:r>
        <m:r>
          <m:t>s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21.9 billion</w:t>
      </w:r>
      <w:r>
        <w:t xml:space="preserve">. (</w:t>
      </w:r>
      <w:hyperlink r:id="rId10">
        <w:r>
          <w:rPr>
            <w:rStyle w:val="Hyperlink"/>
          </w:rPr>
          <w:t xml:space="preserve">benzinga.com</w:t>
        </w:r>
      </w:hyperlink>
      <w:r>
        <w:t xml:space="preserve">)</w:t>
      </w:r>
    </w:p>
    <w:p>
      <w:pPr>
        <w:pStyle w:val="BodyText"/>
      </w:pPr>
      <w:r>
        <w:t xml:space="preserve">That makes the report less about whether Sysco beats by a few cents and more about three questions: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Is U.S. local-customer momentum continuing?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Can gross-margin improvement translate into operating leverage?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does management expect for fiscal 2027, particularly while preparing to acquire Jetro Restaurant Depot?</w:t>
      </w:r>
    </w:p>
    <w:bookmarkEnd w:id="11"/>
    <w:bookmarkStart w:id="12" w:name="key-expectations"/>
    <w:p>
      <w:pPr>
        <w:pStyle w:val="Heading2"/>
      </w:pPr>
      <w:r>
        <w:t xml:space="preserve">Key expectations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Q4 expectation</w:t>
            </w:r>
          </w:p>
        </w:tc>
        <w:tc>
          <w:tcPr/>
          <w:p>
            <w:pPr>
              <w:pStyle w:val="Compact"/>
            </w:pPr>
            <w:r>
              <w:t xml:space="preserve">Relevant context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$1.51</w:t>
            </w:r>
          </w:p>
        </w:tc>
        <w:tc>
          <w:tcPr/>
          <w:p>
            <w:pPr>
              <w:pStyle w:val="Compact"/>
            </w:pPr>
            <w:r>
              <w:t xml:space="preserve">Management’s prior outlook; approximately 2% above last year’s $1.48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~$21.9B</w:t>
            </w:r>
          </w:p>
        </w:tc>
        <w:tc>
          <w:tcPr/>
          <w:p>
            <w:pPr>
              <w:pStyle w:val="Compact"/>
            </w:pPr>
            <w:r>
              <w:t xml:space="preserve">Implies approximately 3.6% year-over-year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High end of</w:t>
            </w:r>
            <w:r>
              <w:rPr>
                <w:b/>
                <w:bCs/>
              </w:rPr>
              <w:t xml:space="preserve"> </w:t>
            </w:r>
            <m:oMath>
              <m:r>
                <m:t>4.50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4.60</w:t>
            </w:r>
          </w:p>
        </w:tc>
        <w:tc>
          <w:tcPr/>
          <w:p>
            <w:pPr>
              <w:pStyle w:val="Compact"/>
            </w:pPr>
            <w:r>
              <w:t xml:space="preserve">YTD adjusted EPS was $3.08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84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85B</w:t>
            </w:r>
          </w:p>
        </w:tc>
        <w:tc>
          <w:tcPr/>
          <w:p>
            <w:pPr>
              <w:pStyle w:val="Compact"/>
            </w:pPr>
            <w:r>
              <w:t xml:space="preserve">Consensus Q4 revenue would produce approximately $84.3B for the year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U.S. local case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At least 2.5%</w:t>
            </w:r>
          </w:p>
        </w:tc>
        <w:tc>
          <w:tcPr/>
          <w:p>
            <w:pPr>
              <w:pStyle w:val="Compact"/>
            </w:pPr>
            <w:r>
              <w:t xml:space="preserve">Q3 growth was 3.3%; Q4 would still accelerate on a two-year stack</w:t>
            </w:r>
          </w:p>
        </w:tc>
      </w:tr>
      <w:tr>
        <w:tc>
          <w:tcPr/>
          <w:p>
            <w:pPr>
              <w:pStyle w:val="Compact"/>
            </w:pPr>
            <w:r>
              <w:t xml:space="preserve">Q4 adjusted interest expense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175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180M</w:t>
            </w:r>
          </w:p>
        </w:tc>
        <w:tc>
          <w:tcPr/>
          <w:p>
            <w:pPr>
              <w:pStyle w:val="Compact"/>
            </w:pPr>
            <w:r>
              <w:t xml:space="preserve">Important ahead of the debt-heavy Jetro transaction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Q4 tax rate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~24%</w:t>
            </w:r>
          </w:p>
        </w:tc>
        <w:tc>
          <w:tcPr/>
          <w:p>
            <w:pPr>
              <w:pStyle w:val="Compact"/>
            </w:pPr>
            <w:r>
              <w:t xml:space="preserve">Prior modeling guidance</w:t>
            </w:r>
          </w:p>
        </w:tc>
      </w:tr>
    </w:tbl>
    <w:bookmarkEnd w:id="12"/>
    <w:bookmarkStart w:id="18" w:name="what-matters-most"/>
    <w:p>
      <w:pPr>
        <w:pStyle w:val="Heading2"/>
      </w:pPr>
      <w:r>
        <w:t xml:space="preserve">What matters most</w:t>
      </w:r>
    </w:p>
    <w:bookmarkStart w:id="14" w:name="X0ec775a6cc23e929f528c73bff2977f12440f74"/>
    <w:p>
      <w:pPr>
        <w:pStyle w:val="Heading3"/>
      </w:pPr>
      <w:r>
        <w:t xml:space="preserve">1. Local-case growth is the core operating signal</w:t>
      </w:r>
    </w:p>
    <w:p>
      <w:pPr>
        <w:pStyle w:val="FirstParagraph"/>
      </w:pPr>
      <w:r>
        <w:t xml:space="preserve">Sysco’s strongest Q3 metric was</w:t>
      </w:r>
      <w:r>
        <w:t xml:space="preserve"> </w:t>
      </w:r>
      <w:r>
        <w:rPr>
          <w:b/>
          <w:bCs/>
        </w:rPr>
        <w:t xml:space="preserve">3.3% U.S. local case growth</w:t>
      </w:r>
      <w:r>
        <w:t xml:space="preserve">, its best performance in more than three years. This occurred despite weak restaurant traffic, suggesting salesforce retention, new-customer wins, customer penetration and programs such as Sysco Your Way and AI 360 were producing share gains.</w:t>
      </w:r>
    </w:p>
    <w:p>
      <w:pPr>
        <w:pStyle w:val="BodyText"/>
      </w:pPr>
      <w:r>
        <w:t xml:space="preserve">Management targeted</w:t>
      </w:r>
      <w:r>
        <w:t xml:space="preserve"> </w:t>
      </w:r>
      <w:r>
        <w:rPr>
          <w:b/>
          <w:bCs/>
        </w:rPr>
        <w:t xml:space="preserve">at least 2.5%</w:t>
      </w:r>
      <w:r>
        <w:t xml:space="preserve"> </w:t>
      </w:r>
      <w:r>
        <w:t xml:space="preserve">growth in Q4. Although that would be slower on a one-year basis, Sysco said it would represent a roughly 120-basis-point sequential acceleration on a two-year stack. (</w:t>
      </w:r>
      <w:hyperlink r:id="rId13">
        <w:r>
          <w:rPr>
            <w:rStyle w:val="Hyperlink"/>
          </w:rPr>
          <w:t xml:space="preserve">investors.sysco.com</w:t>
        </w:r>
      </w:hyperlink>
      <w:r>
        <w:t xml:space="preserve">)</w:t>
      </w:r>
    </w:p>
    <w:p>
      <w:pPr>
        <w:pStyle w:val="BodyText"/>
      </w:pPr>
      <w:r>
        <w:rPr>
          <w:b/>
          <w:bCs/>
        </w:rPr>
        <w:t xml:space="preserve">How to interpret the result: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Above 3%:</w:t>
      </w:r>
      <w:r>
        <w:t xml:space="preserve"> </w:t>
      </w:r>
      <w:r>
        <w:t xml:space="preserve">Strong evidence that the local-business recovery is durable.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Around 2.5%:</w:t>
      </w:r>
      <w:r>
        <w:t xml:space="preserve"> </w:t>
      </w:r>
      <w:r>
        <w:t xml:space="preserve">Acceptable and consistent with guidance, assuming margins remain healthy.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Below 2%:</w:t>
      </w:r>
      <w:r>
        <w:t xml:space="preserve"> </w:t>
      </w:r>
      <w:r>
        <w:t xml:space="preserve">Would raise questions about whether Q3’s acceleration was temporary or whether restaurant weakness is beginning to overwhelm company-specific initiatives.</w:t>
      </w:r>
    </w:p>
    <w:p>
      <w:pPr>
        <w:pStyle w:val="FirstParagraph"/>
      </w:pPr>
      <w:r>
        <w:t xml:space="preserve">Local cases generally carry better economics than large national accounts, so mix is almost as important as total volume.</w:t>
      </w:r>
    </w:p>
    <w:bookmarkEnd w:id="14"/>
    <w:bookmarkStart w:id="15" w:name="X919b2534d1399cb22621ea788a811b064b4fc99"/>
    <w:p>
      <w:pPr>
        <w:pStyle w:val="Heading3"/>
      </w:pPr>
      <w:r>
        <w:t xml:space="preserve">2. Gross margin needs to convert into earnings growth</w:t>
      </w:r>
    </w:p>
    <w:p>
      <w:pPr>
        <w:pStyle w:val="FirstParagraph"/>
      </w:pPr>
      <w:r>
        <w:t xml:space="preserve">Q3 gross profit increased</w:t>
      </w:r>
      <w:r>
        <w:t xml:space="preserve"> </w:t>
      </w:r>
      <w:r>
        <w:rPr>
          <w:b/>
          <w:bCs/>
        </w:rPr>
        <w:t xml:space="preserve">6.5%</w:t>
      </w:r>
      <w:r>
        <w:t xml:space="preserve">, with consolidated gross margin expanding</w:t>
      </w:r>
      <w:r>
        <w:t xml:space="preserve"> </w:t>
      </w:r>
      <w:r>
        <w:rPr>
          <w:b/>
          <w:bCs/>
        </w:rPr>
        <w:t xml:space="preserve">31 basis points to 18.6%</w:t>
      </w:r>
      <w:r>
        <w:t xml:space="preserve">. U.S. Foodservice gross margin expanded 38 basis points. Strategic sourcing, customer mix and management of approximately 2.8% enterprise product-cost inflation drove that improvement. (</w:t>
      </w:r>
      <w:hyperlink r:id="rId13">
        <w:r>
          <w:rPr>
            <w:rStyle w:val="Hyperlink"/>
          </w:rPr>
          <w:t xml:space="preserve">investors.sysco.com</w:t>
        </w:r>
      </w:hyperlink>
      <w:r>
        <w:t xml:space="preserve">)</w:t>
      </w:r>
    </w:p>
    <w:p>
      <w:pPr>
        <w:pStyle w:val="BodyText"/>
      </w:pPr>
      <w:r>
        <w:t xml:space="preserve">However, adjusted operating income was essentially flat because operating expenses rose faster, partly due to a</w:t>
      </w:r>
      <w:r>
        <w:t xml:space="preserve"> </w:t>
      </w:r>
      <w:r>
        <w:rPr>
          <w:b/>
          <w:bCs/>
        </w:rPr>
        <w:t xml:space="preserve">$63 million incentive-compensation comparison</w:t>
      </w:r>
      <w:r>
        <w:t xml:space="preserve"> </w:t>
      </w:r>
      <w:r>
        <w:t xml:space="preserve">and planned investments in sales and capacity.</w:t>
      </w:r>
    </w:p>
    <w:p>
      <w:pPr>
        <w:pStyle w:val="BodyText"/>
      </w:pPr>
      <w:r>
        <w:t xml:space="preserve">The compensation headwind falls to only about</w:t>
      </w:r>
      <w:r>
        <w:t xml:space="preserve"> </w:t>
      </w:r>
      <m:oMath>
        <m:r>
          <m:t>11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Q</m:t>
        </m:r>
        <m:r>
          <m:t>4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S</m:t>
        </m:r>
        <m:r>
          <m:t>y</m:t>
        </m:r>
        <m:r>
          <m:t>s</m:t>
        </m:r>
        <m:r>
          <m:t>c</m:t>
        </m:r>
        <m:r>
          <m:t>o</m:t>
        </m:r>
        <m:r>
          <m:t>i</m:t>
        </m:r>
        <m:r>
          <m:t>n</m:t>
        </m:r>
        <m:r>
          <m:t>i</m:t>
        </m:r>
        <m:r>
          <m:t>t</m:t>
        </m:r>
        <m:r>
          <m:t>i</m:t>
        </m:r>
        <m:r>
          <m:t>a</m:t>
        </m:r>
        <m:r>
          <m:t>t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60 million of run-rate cost savings</w:t>
      </w:r>
      <w:r>
        <w:t xml:space="preserve"> </w:t>
      </w:r>
      <w:r>
        <w:t xml:space="preserve">beginning in the quarter. Therefore, investors should expect better flow-through from gross profit to operating income.</w:t>
      </w:r>
    </w:p>
    <w:p>
      <w:pPr>
        <w:pStyle w:val="BodyText"/>
      </w:pPr>
      <w:r>
        <w:t xml:space="preserve">A good quarter would show:</w:t>
      </w:r>
    </w:p>
    <w:p>
      <w:pPr>
        <w:pStyle w:val="Compact"/>
        <w:numPr>
          <w:ilvl w:val="0"/>
          <w:numId w:val="1003"/>
        </w:numPr>
      </w:pPr>
      <w:r>
        <w:t xml:space="preserve">Continued gross-margin expansion;</w:t>
      </w:r>
    </w:p>
    <w:p>
      <w:pPr>
        <w:pStyle w:val="Compact"/>
        <w:numPr>
          <w:ilvl w:val="0"/>
          <w:numId w:val="1003"/>
        </w:numPr>
      </w:pPr>
      <w:r>
        <w:t xml:space="preserve">U.S. Foodservice adjusted operating-income growth at least matching gross-profit growth;</w:t>
      </w:r>
    </w:p>
    <w:p>
      <w:pPr>
        <w:pStyle w:val="Compact"/>
        <w:numPr>
          <w:ilvl w:val="0"/>
          <w:numId w:val="1003"/>
        </w:numPr>
      </w:pPr>
      <w:r>
        <w:t xml:space="preserve">Lower corporate-expense growth;</w:t>
      </w:r>
    </w:p>
    <w:p>
      <w:pPr>
        <w:pStyle w:val="Compact"/>
        <w:numPr>
          <w:ilvl w:val="0"/>
          <w:numId w:val="1003"/>
        </w:numPr>
      </w:pPr>
      <w:r>
        <w:t xml:space="preserve">Evidence that the $60 million savings program is real and repeatable.</w:t>
      </w:r>
    </w:p>
    <w:p>
      <w:pPr>
        <w:pStyle w:val="FirstParagraph"/>
      </w:pPr>
      <w:r>
        <w:t xml:space="preserve">A revenue beat accompanied by weak operating margins would be lower quality than a modest top-line result with strong gross-profit-per-case and expense control.</w:t>
      </w:r>
    </w:p>
    <w:bookmarkEnd w:id="15"/>
    <w:bookmarkStart w:id="16" w:name="X1b91a340c4c9ddf66de3f3dc4d8fb630f9f919f"/>
    <w:p>
      <w:pPr>
        <w:pStyle w:val="Heading3"/>
      </w:pPr>
      <w:r>
        <w:t xml:space="preserve">3. Private-label penetration remains an underappreciated KPI</w:t>
      </w:r>
    </w:p>
    <w:p>
      <w:pPr>
        <w:pStyle w:val="FirstParagraph"/>
      </w:pPr>
      <w:r>
        <w:t xml:space="preserve">Sysco Brand represented</w:t>
      </w:r>
      <w:r>
        <w:t xml:space="preserve"> </w:t>
      </w:r>
      <w:r>
        <w:rPr>
          <w:b/>
          <w:bCs/>
        </w:rPr>
        <w:t xml:space="preserve">35.0% of U.S. Broadline cases in Q3</w:t>
      </w:r>
      <w:r>
        <w:t xml:space="preserve">, down 62 basis points year over year. Local penetration was 45.1%, down 50 basis points.</w:t>
      </w:r>
    </w:p>
    <w:p>
      <w:pPr>
        <w:pStyle w:val="BodyText"/>
      </w:pPr>
      <w:r>
        <w:t xml:space="preserve">Management said performance was beginning to improve sequentially and expected its “Swap &amp; Save” selling tool to accelerate private-label adoption. Because Sysco Brand products usually improve customer value and distributor economics, stabilization or growth in penetration would support the margin thesis.</w:t>
      </w:r>
    </w:p>
    <w:p>
      <w:pPr>
        <w:pStyle w:val="BodyText"/>
      </w:pPr>
      <w:r>
        <w:t xml:space="preserve">Continued year-over-year deterioration would suggest that gross-margin expansion is relying more heavily on sourcing and pricing than on a sustainable mix improvement.</w:t>
      </w:r>
    </w:p>
    <w:bookmarkEnd w:id="16"/>
    <w:bookmarkStart w:id="17" w:name="X311cc733ca6fcebbe3d66dabe9f15fd91c64bfa"/>
    <w:p>
      <w:pPr>
        <w:pStyle w:val="Heading3"/>
      </w:pPr>
      <w:r>
        <w:t xml:space="preserve">4. Fiscal 2027 guidance is likely the main share-price catalyst</w:t>
      </w:r>
    </w:p>
    <w:p>
      <w:pPr>
        <w:pStyle w:val="FirstParagraph"/>
      </w:pPr>
      <w:r>
        <w:t xml:space="preserve">The FY26 result should land close to existing expectations. Initial FY27 guidance will therefore carry more information than the reported quarter.</w:t>
      </w:r>
    </w:p>
    <w:p>
      <w:pPr>
        <w:pStyle w:val="BodyText"/>
      </w:pPr>
      <w:r>
        <w:t xml:space="preserve">The most useful guidance would separately address:</w:t>
      </w:r>
    </w:p>
    <w:p>
      <w:pPr>
        <w:pStyle w:val="Compact"/>
        <w:numPr>
          <w:ilvl w:val="0"/>
          <w:numId w:val="1004"/>
        </w:numPr>
      </w:pPr>
      <w:r>
        <w:t xml:space="preserve">Organic sales growth;</w:t>
      </w:r>
    </w:p>
    <w:p>
      <w:pPr>
        <w:pStyle w:val="Compact"/>
        <w:numPr>
          <w:ilvl w:val="0"/>
          <w:numId w:val="1004"/>
        </w:numPr>
      </w:pPr>
      <w:r>
        <w:t xml:space="preserve">U.S. local and total case growth;</w:t>
      </w:r>
    </w:p>
    <w:p>
      <w:pPr>
        <w:pStyle w:val="Compact"/>
        <w:numPr>
          <w:ilvl w:val="0"/>
          <w:numId w:val="1004"/>
        </w:numPr>
      </w:pPr>
      <w:r>
        <w:t xml:space="preserve">Product-cost inflation;</w:t>
      </w:r>
    </w:p>
    <w:p>
      <w:pPr>
        <w:pStyle w:val="Compact"/>
        <w:numPr>
          <w:ilvl w:val="0"/>
          <w:numId w:val="1004"/>
        </w:numPr>
      </w:pPr>
      <w:r>
        <w:t xml:space="preserve">Gross-margin and operating-margin expectations;</w:t>
      </w:r>
    </w:p>
    <w:p>
      <w:pPr>
        <w:pStyle w:val="Compact"/>
        <w:numPr>
          <w:ilvl w:val="0"/>
          <w:numId w:val="1004"/>
        </w:numPr>
      </w:pPr>
      <w:r>
        <w:t xml:space="preserve">Standalone adjusted EPS growth;</w:t>
      </w:r>
    </w:p>
    <w:p>
      <w:pPr>
        <w:pStyle w:val="Compact"/>
        <w:numPr>
          <w:ilvl w:val="0"/>
          <w:numId w:val="1004"/>
        </w:numPr>
      </w:pPr>
      <w:r>
        <w:t xml:space="preserve">Free cash flow and capital expenditures;</w:t>
      </w:r>
    </w:p>
    <w:p>
      <w:pPr>
        <w:pStyle w:val="Compact"/>
        <w:numPr>
          <w:ilvl w:val="0"/>
          <w:numId w:val="1004"/>
        </w:numPr>
      </w:pPr>
      <w:r>
        <w:t xml:space="preserve">Pre-closing Jetro transaction and financing costs;</w:t>
      </w:r>
    </w:p>
    <w:p>
      <w:pPr>
        <w:pStyle w:val="Compact"/>
        <w:numPr>
          <w:ilvl w:val="0"/>
          <w:numId w:val="1004"/>
        </w:numPr>
      </w:pPr>
      <w:r>
        <w:t xml:space="preserve">Treatment of Jetro in guidance, given the expected midyear closing.</w:t>
      </w:r>
    </w:p>
    <w:p>
      <w:pPr>
        <w:pStyle w:val="FirstParagraph"/>
      </w:pPr>
      <w:r>
        <w:t xml:space="preserve">Sysco’s long-term algorithm calls for approximately</w:t>
      </w:r>
      <w:r>
        <w:t xml:space="preserve"> </w:t>
      </w:r>
      <w:r>
        <w:rPr>
          <w:b/>
          <w:bCs/>
        </w:rPr>
        <w:t xml:space="preserve">5%–7% adjusted EPS growth</w:t>
      </w:r>
      <w:r>
        <w:t xml:space="preserve">. The suspension of share repurchases removes a prior source of per-share growth, but FY27 should benefit from the normalization of incentive compensation and carryover from the $60 million cost program.</w:t>
      </w:r>
    </w:p>
    <w:p>
      <w:pPr>
        <w:pStyle w:val="BodyText"/>
      </w:pPr>
      <w:r>
        <w:t xml:space="preserve">A credible standalone guide near the normal EPS algorithm would be constructive. Guidance below that range would need a convincing explanation—particularly if attributed to weak restaurant demand, additional investment or transaction expenses.</w:t>
      </w:r>
    </w:p>
    <w:bookmarkEnd w:id="17"/>
    <w:bookmarkEnd w:id="18"/>
    <w:bookmarkStart w:id="20" w:name="X4e734a39c78f9b8676618288cfc8de5b6e99ec2"/>
    <w:p>
      <w:pPr>
        <w:pStyle w:val="Heading2"/>
      </w:pPr>
      <w:r>
        <w:t xml:space="preserve">Jetro Restaurant Depot: the second earnings call within the earnings call</w:t>
      </w:r>
    </w:p>
    <w:p>
      <w:pPr>
        <w:pStyle w:val="FirstParagraph"/>
      </w:pPr>
      <w:r>
        <w:t xml:space="preserve">Sysco’s proposed acquisition of Jetro Restaurant Depot is valued at approximately</w:t>
      </w:r>
      <w:r>
        <w:t xml:space="preserve"> </w:t>
      </w:r>
      <m:oMath>
        <m:r>
          <m:t>29.1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i</m:t>
        </m:r>
        <m:r>
          <m:t>n</m:t>
        </m:r>
        <m:r>
          <m:t>c</m:t>
        </m:r>
        <m:r>
          <m:t>l</m:t>
        </m:r>
        <m:r>
          <m:t>u</m:t>
        </m:r>
        <m:r>
          <m:t>d</m:t>
        </m:r>
        <m:r>
          <m:t>i</m:t>
        </m:r>
        <m:r>
          <m:t>n</m:t>
        </m:r>
        <m:r>
          <m:t>g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21.6 billion of cash consideration and 91.5 million Sysco shares</w:t>
      </w:r>
      <w:r>
        <w:t xml:space="preserve">. Management expects $250 million of annualized net cost synergies by year three and mid- to high-single-digit EPS accretion in the first year after closing. The deal is expected to close by Sysco’s fiscal Q3 2027, subject to regulatory approval. (</w:t>
      </w:r>
      <w:hyperlink r:id="rId19">
        <w:r>
          <w:rPr>
            <w:rStyle w:val="Hyperlink"/>
          </w:rPr>
          <w:t xml:space="preserve">investors.sysco.com</w:t>
        </w:r>
      </w:hyperlink>
      <w:r>
        <w:t xml:space="preserve">)</w:t>
      </w:r>
    </w:p>
    <w:p>
      <w:pPr>
        <w:pStyle w:val="BodyText"/>
      </w:pPr>
      <w:r>
        <w:t xml:space="preserve">The acquisition would materially change Sysco’s financial profile:</w:t>
      </w:r>
    </w:p>
    <w:p>
      <w:pPr>
        <w:pStyle w:val="Compact"/>
        <w:numPr>
          <w:ilvl w:val="0"/>
          <w:numId w:val="1005"/>
        </w:numPr>
      </w:pPr>
      <w:r>
        <w:t xml:space="preserve">Revenue approximately 20% higher;</w:t>
      </w:r>
    </w:p>
    <w:p>
      <w:pPr>
        <w:pStyle w:val="Compact"/>
        <w:numPr>
          <w:ilvl w:val="0"/>
          <w:numId w:val="1005"/>
        </w:numPr>
      </w:pPr>
      <w:r>
        <w:t xml:space="preserve">EBITDA approximately 45% higher;</w:t>
      </w:r>
    </w:p>
    <w:p>
      <w:pPr>
        <w:pStyle w:val="Compact"/>
        <w:numPr>
          <w:ilvl w:val="0"/>
          <w:numId w:val="1005"/>
        </w:numPr>
      </w:pPr>
      <w:r>
        <w:t xml:space="preserve">Free cash flow approximately 55% higher;</w:t>
      </w:r>
    </w:p>
    <w:p>
      <w:pPr>
        <w:pStyle w:val="Compact"/>
        <w:numPr>
          <w:ilvl w:val="0"/>
          <w:numId w:val="1005"/>
        </w:numPr>
      </w:pPr>
      <w:r>
        <w:t xml:space="preserve">Net leverage around 4.5 times at closing;</w:t>
      </w:r>
    </w:p>
    <w:p>
      <w:pPr>
        <w:pStyle w:val="Compact"/>
        <w:numPr>
          <w:ilvl w:val="0"/>
          <w:numId w:val="1005"/>
        </w:numPr>
      </w:pPr>
      <w:r>
        <w:t xml:space="preserve">Targeted deleveraging to approximately 3.5 times within two years;</w:t>
      </w:r>
    </w:p>
    <w:p>
      <w:pPr>
        <w:pStyle w:val="Compact"/>
        <w:numPr>
          <w:ilvl w:val="0"/>
          <w:numId w:val="1005"/>
        </w:numPr>
      </w:pPr>
      <w:r>
        <w:t xml:space="preserve">Share repurchases suspended during the deleveraging period.</w:t>
      </w:r>
    </w:p>
    <w:p>
      <w:pPr>
        <w:pStyle w:val="FirstParagraph"/>
      </w:pPr>
      <w:r>
        <w:t xml:space="preserve">Management’s last operating update said Restaurant Depot’s calendar Q1 volume increased approximately 4% and profitability was in line with expectations. Investors should now look for: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 calendar Q2 operating update</w:t>
      </w:r>
      <w:r>
        <w:t xml:space="preserve">, especially volume and margin trends;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Regulatory progress</w:t>
      </w:r>
      <w:r>
        <w:t xml:space="preserve"> </w:t>
      </w:r>
      <w:r>
        <w:t xml:space="preserve">and any change to the expected closing date;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Financing costs and structure</w:t>
      </w:r>
      <w:r>
        <w:t xml:space="preserve">, given the planned debt issuance;</w:t>
      </w:r>
    </w:p>
    <w:p>
      <w:pPr>
        <w:pStyle w:val="Compact"/>
        <w:numPr>
          <w:ilvl w:val="0"/>
          <w:numId w:val="1006"/>
        </w:numPr>
      </w:pPr>
      <w:r>
        <w:t xml:space="preserve">Confirmation of the</w:t>
      </w:r>
      <w:r>
        <w:t xml:space="preserve"> </w:t>
      </w:r>
      <w:r>
        <w:rPr>
          <w:b/>
          <w:bCs/>
        </w:rPr>
        <w:t xml:space="preserve">$250 million synergy target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Any changes to expected leverage, credit ratings or deleveraging timing;</w:t>
      </w:r>
    </w:p>
    <w:p>
      <w:pPr>
        <w:pStyle w:val="Compact"/>
        <w:numPr>
          <w:ilvl w:val="0"/>
          <w:numId w:val="1006"/>
        </w:numPr>
      </w:pPr>
      <w:r>
        <w:t xml:space="preserve">Evidence that management attention on the transaction is not disrupting Sysco’s core operations.</w:t>
      </w:r>
    </w:p>
    <w:p>
      <w:pPr>
        <w:pStyle w:val="FirstParagraph"/>
      </w:pPr>
      <w:r>
        <w:t xml:space="preserve">The stock initially fell about</w:t>
      </w:r>
      <w:r>
        <w:t xml:space="preserve"> </w:t>
      </w:r>
      <w:r>
        <w:rPr>
          <w:b/>
          <w:bCs/>
        </w:rPr>
        <w:t xml:space="preserve">15%</w:t>
      </w:r>
      <w:r>
        <w:t xml:space="preserve"> </w:t>
      </w:r>
      <w:r>
        <w:t xml:space="preserve">when the transaction was announced but closed August 3 at</w:t>
      </w:r>
      <w:r>
        <w:t xml:space="preserve"> </w:t>
      </w:r>
      <w:r>
        <w:rPr>
          <w:b/>
          <w:bCs/>
        </w:rPr>
        <w:t xml:space="preserve">$85</w:t>
      </w:r>
      <w:r>
        <w:t xml:space="preserve">, roughly 23% above the announcement-day close and 4% above its pre-announcement price. The market has therefore moved from outright rejection toward cautious acceptance. A routine “deal remains on track” update may no longer be enough to drive substantial upside.</w:t>
      </w:r>
    </w:p>
    <w:bookmarkEnd w:id="20"/>
    <w:bookmarkStart w:id="24" w:name="other-items-to-monitor"/>
    <w:p>
      <w:pPr>
        <w:pStyle w:val="Heading2"/>
      </w:pPr>
      <w:r>
        <w:t xml:space="preserve">Other items to monitor</w:t>
      </w:r>
    </w:p>
    <w:bookmarkStart w:id="21" w:name="international-operations"/>
    <w:p>
      <w:pPr>
        <w:pStyle w:val="Heading3"/>
      </w:pPr>
      <w:r>
        <w:t xml:space="preserve">International operations</w:t>
      </w:r>
    </w:p>
    <w:p>
      <w:pPr>
        <w:pStyle w:val="FirstParagraph"/>
      </w:pPr>
      <w:r>
        <w:t xml:space="preserve">International delivered its tenth consecutive quarter of double-digit adjusted operating-income growth in Q3, including:</w:t>
      </w:r>
    </w:p>
    <w:p>
      <w:pPr>
        <w:pStyle w:val="Compact"/>
        <w:numPr>
          <w:ilvl w:val="0"/>
          <w:numId w:val="1007"/>
        </w:numPr>
      </w:pPr>
      <w:r>
        <w:t xml:space="preserve">Sales growth of 12.4%;</w:t>
      </w:r>
    </w:p>
    <w:p>
      <w:pPr>
        <w:pStyle w:val="Compact"/>
        <w:numPr>
          <w:ilvl w:val="0"/>
          <w:numId w:val="1007"/>
        </w:numPr>
      </w:pPr>
      <w:r>
        <w:t xml:space="preserve">Local case growth of 3.8%;</w:t>
      </w:r>
    </w:p>
    <w:p>
      <w:pPr>
        <w:pStyle w:val="Compact"/>
        <w:numPr>
          <w:ilvl w:val="0"/>
          <w:numId w:val="1007"/>
        </w:numPr>
      </w:pPr>
      <w:r>
        <w:t xml:space="preserve">Adjusted operating-income growth of 12.5%.</w:t>
      </w:r>
    </w:p>
    <w:p>
      <w:pPr>
        <w:pStyle w:val="FirstParagraph"/>
      </w:pPr>
      <w:r>
        <w:t xml:space="preserve">Continued double-digit profit growth would reinforce International’s role as a dependable offset to uneven U.S. restaurant traffic.</w:t>
      </w:r>
    </w:p>
    <w:bookmarkEnd w:id="21"/>
    <w:bookmarkStart w:id="22" w:name="national-accounts"/>
    <w:p>
      <w:pPr>
        <w:pStyle w:val="Heading3"/>
      </w:pPr>
      <w:r>
        <w:t xml:space="preserve">National accounts</w:t>
      </w:r>
    </w:p>
    <w:p>
      <w:pPr>
        <w:pStyle w:val="FirstParagraph"/>
      </w:pPr>
      <w:r>
        <w:t xml:space="preserve">National-contract case growth was only 1.4% in Q3, with national restaurant customers weak but healthcare, travel, hospitality and foodservice management stronger. Management expected Q4 improvement from new-account onboarding and non-restaurant demand—not from an industry traffic recovery.</w:t>
      </w:r>
    </w:p>
    <w:p>
      <w:pPr>
        <w:pStyle w:val="BodyText"/>
      </w:pPr>
      <w:r>
        <w:t xml:space="preserve">Investors should distinguish between:</w:t>
      </w:r>
    </w:p>
    <w:p>
      <w:pPr>
        <w:pStyle w:val="Compact"/>
        <w:numPr>
          <w:ilvl w:val="0"/>
          <w:numId w:val="1008"/>
        </w:numPr>
      </w:pPr>
      <w:r>
        <w:t xml:space="preserve">Growth from profitable new wins; and</w:t>
      </w:r>
    </w:p>
    <w:p>
      <w:pPr>
        <w:pStyle w:val="Compact"/>
        <w:numPr>
          <w:ilvl w:val="0"/>
          <w:numId w:val="1008"/>
        </w:numPr>
      </w:pPr>
      <w:r>
        <w:t xml:space="preserve">Growth obtained through aggressive pricing or lower-quality contracts.</w:t>
      </w:r>
    </w:p>
    <w:bookmarkEnd w:id="22"/>
    <w:bookmarkStart w:id="23" w:name="cash-flow-and-capital-allocation"/>
    <w:p>
      <w:pPr>
        <w:pStyle w:val="Heading3"/>
      </w:pPr>
      <w:r>
        <w:t xml:space="preserve">Cash flow and capital allocation</w:t>
      </w:r>
    </w:p>
    <w:p>
      <w:pPr>
        <w:pStyle w:val="FirstParagraph"/>
      </w:pPr>
      <w:r>
        <w:t xml:space="preserve">Year-to-date free cash flow was</w:t>
      </w:r>
      <w:r>
        <w:t xml:space="preserve"> </w:t>
      </w:r>
      <w:r>
        <w:rPr>
          <w:b/>
          <w:bCs/>
        </w:rPr>
        <w:t xml:space="preserve">$1.1 billion</w:t>
      </w:r>
      <w:r>
        <w:t xml:space="preserve">, up 19% through Q3. Cash generation is becoming more important because Sysco is preserving cash for the Jetro transaction and has stopped repurchasing shares.</w:t>
      </w:r>
    </w:p>
    <w:p>
      <w:pPr>
        <w:pStyle w:val="BodyText"/>
      </w:pPr>
      <w:r>
        <w:t xml:space="preserve">Watch for:</w:t>
      </w:r>
    </w:p>
    <w:p>
      <w:pPr>
        <w:pStyle w:val="Compact"/>
        <w:numPr>
          <w:ilvl w:val="0"/>
          <w:numId w:val="1009"/>
        </w:numPr>
      </w:pPr>
      <w:r>
        <w:t xml:space="preserve">Full-year free-cash-flow conversion;</w:t>
      </w:r>
    </w:p>
    <w:p>
      <w:pPr>
        <w:pStyle w:val="Compact"/>
        <w:numPr>
          <w:ilvl w:val="0"/>
          <w:numId w:val="1009"/>
        </w:numPr>
      </w:pPr>
      <w:r>
        <w:t xml:space="preserve">Working-capital performance;</w:t>
      </w:r>
    </w:p>
    <w:p>
      <w:pPr>
        <w:pStyle w:val="Compact"/>
        <w:numPr>
          <w:ilvl w:val="0"/>
          <w:numId w:val="1009"/>
        </w:numPr>
      </w:pPr>
      <w:r>
        <w:t xml:space="preserve">FY27 capital-expenditure guidance;</w:t>
      </w:r>
    </w:p>
    <w:p>
      <w:pPr>
        <w:pStyle w:val="Compact"/>
        <w:numPr>
          <w:ilvl w:val="0"/>
          <w:numId w:val="1009"/>
        </w:numPr>
      </w:pPr>
      <w:r>
        <w:t xml:space="preserve">Confirmation that the dividend remains protected;</w:t>
      </w:r>
    </w:p>
    <w:p>
      <w:pPr>
        <w:pStyle w:val="Compact"/>
        <w:numPr>
          <w:ilvl w:val="0"/>
          <w:numId w:val="1009"/>
        </w:numPr>
      </w:pPr>
      <w:r>
        <w:t xml:space="preserve">Any further accumulation of cash before closing.</w:t>
      </w:r>
    </w:p>
    <w:bookmarkEnd w:id="23"/>
    <w:bookmarkEnd w:id="24"/>
    <w:bookmarkStart w:id="28" w:name="scenario-framework"/>
    <w:p>
      <w:pPr>
        <w:pStyle w:val="Heading2"/>
      </w:pPr>
      <w:r>
        <w:t xml:space="preserve">Scenario framework</w:t>
      </w:r>
    </w:p>
    <w:bookmarkStart w:id="25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0"/>
        </w:numPr>
      </w:pPr>
      <w:r>
        <w:t xml:space="preserve">Adjusted EPS of</w:t>
      </w:r>
      <w:r>
        <w:t xml:space="preserve"> </w:t>
      </w:r>
      <w:r>
        <w:rPr>
          <w:b/>
          <w:bCs/>
        </w:rPr>
        <w:t xml:space="preserve">$1.53 or better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Revenue near or above consensus;</w:t>
      </w:r>
    </w:p>
    <w:p>
      <w:pPr>
        <w:pStyle w:val="Compact"/>
        <w:numPr>
          <w:ilvl w:val="0"/>
          <w:numId w:val="1010"/>
        </w:numPr>
      </w:pPr>
      <w:r>
        <w:t xml:space="preserve">U.S. local case growth of</w:t>
      </w:r>
      <w:r>
        <w:t xml:space="preserve"> </w:t>
      </w:r>
      <w:r>
        <w:rPr>
          <w:b/>
          <w:bCs/>
        </w:rPr>
        <w:t xml:space="preserve">3%+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Continued gross-margin expansion and clear operating leverage;</w:t>
      </w:r>
    </w:p>
    <w:p>
      <w:pPr>
        <w:pStyle w:val="Compact"/>
        <w:numPr>
          <w:ilvl w:val="0"/>
          <w:numId w:val="1010"/>
        </w:numPr>
      </w:pPr>
      <w:r>
        <w:t xml:space="preserve">FY27 standalone EPS growth at or above the normal 5%–7% algorithm;</w:t>
      </w:r>
    </w:p>
    <w:p>
      <w:pPr>
        <w:pStyle w:val="Compact"/>
        <w:numPr>
          <w:ilvl w:val="0"/>
          <w:numId w:val="1010"/>
        </w:numPr>
      </w:pPr>
      <w:r>
        <w:t xml:space="preserve">Restaurant Depot volume remains healthy and the closing timetable is reaffirmed.</w:t>
      </w:r>
    </w:p>
    <w:p>
      <w:pPr>
        <w:pStyle w:val="FirstParagraph"/>
      </w:pPr>
      <w:r>
        <w:t xml:space="preserve">This would indicate that Sysco can grow through a soft restaurant environment while preparing for the acquisition.</w:t>
      </w:r>
    </w:p>
    <w:bookmarkEnd w:id="25"/>
    <w:bookmarkStart w:id="26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1"/>
        </w:numPr>
      </w:pPr>
      <w:r>
        <w:t xml:space="preserve">Adjusted EPS of</w:t>
      </w:r>
      <w:r>
        <w:t xml:space="preserve"> </w:t>
      </w:r>
      <m:oMath>
        <m:r>
          <m:t>1.50</m:t>
        </m:r>
        <m:r>
          <m:rPr>
            <m:sty m:val="p"/>
          </m:rPr>
          <m:t>–</m:t>
        </m:r>
      </m:oMath>
      <w:r>
        <w:rPr>
          <w:b/>
          <w:bCs/>
        </w:rPr>
        <w:t xml:space="preserve">1.52</w:t>
      </w:r>
      <w:r>
        <w:t xml:space="preserve">;</w:t>
      </w:r>
    </w:p>
    <w:p>
      <w:pPr>
        <w:pStyle w:val="Compact"/>
        <w:numPr>
          <w:ilvl w:val="0"/>
          <w:numId w:val="1011"/>
        </w:numPr>
      </w:pPr>
      <w:r>
        <w:t xml:space="preserve">Revenue around $21.9 billion;</w:t>
      </w:r>
    </w:p>
    <w:p>
      <w:pPr>
        <w:pStyle w:val="Compact"/>
        <w:numPr>
          <w:ilvl w:val="0"/>
          <w:numId w:val="1011"/>
        </w:numPr>
      </w:pPr>
      <w:r>
        <w:t xml:space="preserve">Local case growth of</w:t>
      </w:r>
      <w:r>
        <w:t xml:space="preserve"> </w:t>
      </w:r>
      <w:r>
        <w:rPr>
          <w:b/>
          <w:bCs/>
        </w:rPr>
        <w:t xml:space="preserve">2.5%–3.0%</w:t>
      </w:r>
      <w:r>
        <w:t xml:space="preserve">;</w:t>
      </w:r>
    </w:p>
    <w:p>
      <w:pPr>
        <w:pStyle w:val="Compact"/>
        <w:numPr>
          <w:ilvl w:val="0"/>
          <w:numId w:val="1011"/>
        </w:numPr>
      </w:pPr>
      <w:r>
        <w:t xml:space="preserve">Modest margin expansion;</w:t>
      </w:r>
    </w:p>
    <w:p>
      <w:pPr>
        <w:pStyle w:val="Compact"/>
        <w:numPr>
          <w:ilvl w:val="0"/>
          <w:numId w:val="1011"/>
        </w:numPr>
      </w:pPr>
      <w:r>
        <w:t xml:space="preserve">FY27 guidance for mid-single-digit standalone EPS growth;</w:t>
      </w:r>
    </w:p>
    <w:p>
      <w:pPr>
        <w:pStyle w:val="Compact"/>
        <w:numPr>
          <w:ilvl w:val="0"/>
          <w:numId w:val="1011"/>
        </w:numPr>
      </w:pPr>
      <w:r>
        <w:t xml:space="preserve">No meaningful change to the Jetro timeline or economics.</w:t>
      </w:r>
    </w:p>
    <w:p>
      <w:pPr>
        <w:pStyle w:val="FirstParagraph"/>
      </w:pPr>
      <w:r>
        <w:t xml:space="preserve">This likely validates the recent stock recovery without materially changing the investment debate.</w:t>
      </w:r>
    </w:p>
    <w:bookmarkEnd w:id="26"/>
    <w:bookmarkStart w:id="27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2"/>
        </w:numPr>
      </w:pPr>
      <w:r>
        <w:t xml:space="preserve">Adjusted EPS below last year’s</w:t>
      </w:r>
      <w:r>
        <w:t xml:space="preserve"> </w:t>
      </w:r>
      <w:r>
        <w:rPr>
          <w:b/>
          <w:bCs/>
        </w:rPr>
        <w:t xml:space="preserve">$1.48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Local case growth below 2%;</w:t>
      </w:r>
    </w:p>
    <w:p>
      <w:pPr>
        <w:pStyle w:val="Compact"/>
        <w:numPr>
          <w:ilvl w:val="0"/>
          <w:numId w:val="1012"/>
        </w:numPr>
      </w:pPr>
      <w:r>
        <w:t xml:space="preserve">Gross-margin gains offset by elevated labor, corporate or capacity costs;</w:t>
      </w:r>
    </w:p>
    <w:p>
      <w:pPr>
        <w:pStyle w:val="Compact"/>
        <w:numPr>
          <w:ilvl w:val="0"/>
          <w:numId w:val="1012"/>
        </w:numPr>
      </w:pPr>
      <w:r>
        <w:t xml:space="preserve">Cautious FY27 outlook;</w:t>
      </w:r>
    </w:p>
    <w:p>
      <w:pPr>
        <w:pStyle w:val="Compact"/>
        <w:numPr>
          <w:ilvl w:val="0"/>
          <w:numId w:val="1012"/>
        </w:numPr>
      </w:pPr>
      <w:r>
        <w:t xml:space="preserve">Restaurant Depot weakness, increased financing costs or regulatory delays;</w:t>
      </w:r>
    </w:p>
    <w:p>
      <w:pPr>
        <w:pStyle w:val="Compact"/>
        <w:numPr>
          <w:ilvl w:val="0"/>
          <w:numId w:val="1012"/>
        </w:numPr>
      </w:pPr>
      <w:r>
        <w:t xml:space="preserve">Reduced confidence in leverage or synergy targets.</w:t>
      </w:r>
    </w:p>
    <w:p>
      <w:pPr>
        <w:pStyle w:val="FirstParagraph"/>
      </w:pPr>
      <w:r>
        <w:t xml:space="preserve">That combination would revive concerns that Sysco is taking on substantial acquisition risk just as its underlying operating momentum is weakening.</w:t>
      </w:r>
    </w:p>
    <w:bookmarkEnd w:id="27"/>
    <w:bookmarkEnd w:id="28"/>
    <w:bookmarkStart w:id="2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$1.51 EPS print itself is not the main event</w:t>
      </w:r>
      <w:r>
        <w:t xml:space="preserve">. It is effectively embedded in both management guidance and consensus.</w:t>
      </w:r>
    </w:p>
    <w:p>
      <w:pPr>
        <w:pStyle w:val="BodyText"/>
      </w:pPr>
      <w:r>
        <w:t xml:space="preserve">The report becomes meaningfully positive if Sysco demonstrates that:</w:t>
      </w:r>
    </w:p>
    <w:p>
      <w:pPr>
        <w:pStyle w:val="Compact"/>
        <w:numPr>
          <w:ilvl w:val="0"/>
          <w:numId w:val="1013"/>
        </w:numPr>
      </w:pPr>
      <w:r>
        <w:t xml:space="preserve">Local share gains are continuing;</w:t>
      </w:r>
    </w:p>
    <w:p>
      <w:pPr>
        <w:pStyle w:val="Compact"/>
        <w:numPr>
          <w:ilvl w:val="0"/>
          <w:numId w:val="1013"/>
        </w:numPr>
      </w:pPr>
      <w:r>
        <w:t xml:space="preserve">Gross-margin improvement is translating into operating leverage;</w:t>
      </w:r>
    </w:p>
    <w:p>
      <w:pPr>
        <w:pStyle w:val="Compact"/>
        <w:numPr>
          <w:ilvl w:val="0"/>
          <w:numId w:val="1013"/>
        </w:numPr>
      </w:pPr>
      <w:r>
        <w:t xml:space="preserve">FY27 can deliver normal standalone earnings growth despite no buybacks;</w:t>
      </w:r>
    </w:p>
    <w:p>
      <w:pPr>
        <w:pStyle w:val="Compact"/>
        <w:numPr>
          <w:ilvl w:val="0"/>
          <w:numId w:val="1013"/>
        </w:numPr>
      </w:pPr>
      <w:r>
        <w:t xml:space="preserve">Restaurant Depot is performing well and the acquisition remains financeable on the promised terms.</w:t>
      </w:r>
    </w:p>
    <w:p>
      <w:pPr>
        <w:pStyle w:val="FirstParagraph"/>
      </w:pPr>
      <w:r>
        <w:t xml:space="preserve">The greatest risk is not a small Q4 miss. It is a FY27 outlook that suggests softer local volumes, limited expense leverage or higher transaction-related costs at a time when the stock has already recovered from the deal announcement and trades at roughly</w:t>
      </w:r>
      <w:r>
        <w:t xml:space="preserve"> </w:t>
      </w:r>
      <w:r>
        <w:rPr>
          <w:b/>
          <w:bCs/>
        </w:rPr>
        <w:t xml:space="preserve">18.5 times expected FY26 adjusted EPS</w:t>
      </w:r>
      <w:r>
        <w:t xml:space="preserve">.</w:t>
      </w:r>
    </w:p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https://investors.sysco.com/annual-reports-and-sec-filings/news-releases/2026/03-30-2026-113036743?utm_source=openai" TargetMode="External" /><Relationship Type="http://schemas.openxmlformats.org/officeDocument/2006/relationships/hyperlink" Id="rId13" Target="https://investors.sysco.com/annual-reports-and-sec-filings/news-releases/2026/04-28-2026-130535521?utm_source=openai" TargetMode="External" /><Relationship Type="http://schemas.openxmlformats.org/officeDocument/2006/relationships/hyperlink" Id="rId9" Target="https://investors.sysco.com/annual-reports-and-sec-filings/news-releases/2026/07-14-2026-130519584?utm_source=openai" TargetMode="External" /><Relationship Type="http://schemas.openxmlformats.org/officeDocument/2006/relationships/hyperlink" Id="rId10" Target="https://www.benzinga.com/quote/SYY/earnings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https://investors.sysco.com/annual-reports-and-sec-filings/news-releases/2026/03-30-2026-113036743?utm_source=openai" TargetMode="External" /><Relationship Type="http://schemas.openxmlformats.org/officeDocument/2006/relationships/hyperlink" Id="rId13" Target="https://investors.sysco.com/annual-reports-and-sec-filings/news-releases/2026/04-28-2026-130535521?utm_source=openai" TargetMode="External" /><Relationship Type="http://schemas.openxmlformats.org/officeDocument/2006/relationships/hyperlink" Id="rId9" Target="https://investors.sysco.com/annual-reports-and-sec-filings/news-releases/2026/07-14-2026-130519584?utm_source=openai" TargetMode="External" /><Relationship Type="http://schemas.openxmlformats.org/officeDocument/2006/relationships/hyperlink" Id="rId10" Target="https://www.benzinga.com/quote/SYY/earnings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2026-08-04T00:59:26Z</dcterms:created>
  <dcterms:modified xsi:type="dcterms:W3CDTF">2026-08-04T00:59:26Z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