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c417f9a45e301eca200129f15f253260d1f4321"/>
    <w:p>
      <w:pPr>
        <w:pStyle w:val="Heading1"/>
      </w:pPr>
      <w:r>
        <w:t xml:space="preserve">Sysco (NYSE: SYY) — FY2026 Q4 Earnings Preview</w:t>
      </w:r>
    </w:p>
    <w:p>
      <w:pPr>
        <w:pStyle w:val="BlockText"/>
      </w:pPr>
      <w:r>
        <w:rPr>
          <w:b/>
          <w:bCs/>
        </w:rPr>
        <w:t xml:space="preserve">Timing note:</w:t>
      </w:r>
      <w:r>
        <w:t xml:space="preserve"> </w:t>
      </w:r>
      <w:r>
        <w:t xml:space="preserve">Today is</w:t>
      </w:r>
      <w:r>
        <w:t xml:space="preserve"> </w:t>
      </w:r>
      <w:r>
        <w:rPr>
          <w:b/>
          <w:bCs/>
        </w:rPr>
        <w:t xml:space="preserve">Tuesday, August 4, 2026</w:t>
      </w:r>
      <w:r>
        <w:t xml:space="preserve">. The event date in the prompt—</w:t>
      </w:r>
      <w:r>
        <w:rPr>
          <w:b/>
          <w:bCs/>
        </w:rPr>
        <w:t xml:space="preserve">August 4, 2026</w:t>
      </w:r>
      <w:r>
        <w:t xml:space="preserve">—is therefore</w:t>
      </w:r>
      <w:r>
        <w:t xml:space="preserve"> </w:t>
      </w:r>
      <w:r>
        <w:rPr>
          <w:b/>
          <w:bCs/>
        </w:rPr>
        <w:t xml:space="preserve">today, not tomorrow</w:t>
      </w:r>
      <w:r>
        <w:t xml:space="preserve">. This preview assumes it is being read ahead of Sysco’s fiscal 4Q26 results and earnings call.</w:t>
      </w:r>
    </w:p>
    <w:bookmarkStart w:id="9" w:name="bottom-line"/>
    <w:p>
      <w:pPr>
        <w:pStyle w:val="Heading2"/>
      </w:pPr>
      <w:r>
        <w:t xml:space="preserve">Bottom line</w:t>
      </w:r>
    </w:p>
    <w:p>
      <w:pPr>
        <w:pStyle w:val="FirstParagraph"/>
      </w:pPr>
      <w:r>
        <w:t xml:space="preserve">Sysco enters fiscal 4Q26 with the core operating story improving: U.S. local case growth accelerated to</w:t>
      </w:r>
      <w:r>
        <w:t xml:space="preserve"> </w:t>
      </w:r>
      <w:r>
        <w:rPr>
          <w:b/>
          <w:bCs/>
        </w:rPr>
        <w:t xml:space="preserve">3.3%</w:t>
      </w:r>
      <w:r>
        <w:t xml:space="preserve"> </w:t>
      </w:r>
      <w:r>
        <w:t xml:space="preserve">in fiscal 3Q, gross margin expanded, and management reaffirmed confidence in delivering FY26 adjusted EPS at the high end of its</w:t>
      </w:r>
      <w:r>
        <w:t xml:space="preserve"> </w:t>
      </w:r>
      <m:oMath>
        <m:r>
          <m:t>4.50</m:t>
        </m:r>
        <m:r>
          <m:rPr>
            <m:sty m:val="p"/>
          </m:rPr>
          <m:t>–</m:t>
        </m:r>
      </m:oMath>
      <w:r>
        <w:rPr>
          <w:b/>
          <w:bCs/>
        </w:rPr>
        <w:t xml:space="preserve">4.60</w:t>
      </w:r>
      <w:r>
        <w:t xml:space="preserve"> </w:t>
      </w:r>
      <w:r>
        <w:t xml:space="preserve">range. The company specifically indicated an expectation for approximately</w:t>
      </w:r>
      <w:r>
        <w:t xml:space="preserve"> </w:t>
      </w:r>
      <w:r>
        <w:rPr>
          <w:b/>
          <w:bCs/>
        </w:rPr>
        <w:t xml:space="preserve">$1.51</w:t>
      </w:r>
      <w:r>
        <w:t xml:space="preserve"> </w:t>
      </w:r>
      <w:r>
        <w:t xml:space="preserve">of adjusted EPS in 4Q, implying a relatively well-telegraphed print.</w:t>
      </w:r>
    </w:p>
    <w:p>
      <w:pPr>
        <w:pStyle w:val="BodyText"/>
      </w:pPr>
      <w:r>
        <w:t xml:space="preserve">As a result, the event is likely to be judged less on the headline quarter and more on three questions:</w:t>
      </w:r>
    </w:p>
    <w:p>
      <w:pPr>
        <w:pStyle w:val="Compact"/>
        <w:numPr>
          <w:ilvl w:val="0"/>
          <w:numId w:val="1001"/>
        </w:numPr>
      </w:pPr>
      <w:r>
        <w:rPr>
          <w:b/>
          <w:bCs/>
        </w:rPr>
        <w:t xml:space="preserve">Did U.S. local-volume momentum hold up at or above the ≥2.5% 4Q target?</w:t>
      </w:r>
    </w:p>
    <w:p>
      <w:pPr>
        <w:pStyle w:val="Compact"/>
        <w:numPr>
          <w:ilvl w:val="0"/>
          <w:numId w:val="1001"/>
        </w:numPr>
      </w:pPr>
      <w:r>
        <w:rPr>
          <w:b/>
          <w:bCs/>
        </w:rPr>
        <w:t xml:space="preserve">Can Sysco sustain margin expansion while continuing to invest in sales capacity, technology, and supply chain?</w:t>
      </w:r>
    </w:p>
    <w:p>
      <w:pPr>
        <w:pStyle w:val="Compact"/>
        <w:numPr>
          <w:ilvl w:val="0"/>
          <w:numId w:val="1001"/>
        </w:numPr>
      </w:pPr>
      <w:r>
        <w:rPr>
          <w:b/>
          <w:bCs/>
        </w:rPr>
        <w:t xml:space="preserve">Does management provide a credible FY27 outlook and further reduce uncertainty around the pending Jetro Restaurant Depot acquisition?</w:t>
      </w:r>
    </w:p>
    <w:p>
      <w:pPr>
        <w:pStyle w:val="FirstParagraph"/>
      </w:pPr>
      <w:r>
        <w:t xml:space="preserve">The strategic setup is increasingly bifurcated: core Sysco needs to prove durable execution in a still-choppy restaurant environment, while the Restaurant Depot deal offers substantial longer-term earnings and free-cash-flow upside—but brings leverage, regulatory, and execution risk.</w:t>
      </w:r>
    </w:p>
    <w:p>
      <w:r>
        <w:pict>
          <v:rect style="width:0;height:1.5pt" o:hralign="center" o:hrstd="t" o:hr="t"/>
        </w:pict>
      </w:r>
    </w:p>
    <w:bookmarkEnd w:id="9"/>
    <w:bookmarkStart w:id="10" w:name="what-sysco-has-guided-to"/>
    <w:p>
      <w:pPr>
        <w:pStyle w:val="Heading2"/>
      </w:pPr>
      <w:r>
        <w:t xml:space="preserve">What Sysco has guided to</w:t>
      </w:r>
    </w:p>
    <w:p>
      <w:pPr>
        <w:pStyle w:val="FirstParagraph"/>
      </w:pPr>
      <w:r>
        <w:t xml:space="preserve">Management’s latest disclosed outlook provides a clear framework for the quarter:</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FY26 / 4Q26 company outlook</w:t>
            </w:r>
          </w:p>
        </w:tc>
      </w:tr>
      <w:tr>
        <w:tc>
          <w:tcPr/>
          <w:p>
            <w:pPr>
              <w:pStyle w:val="Compact"/>
            </w:pPr>
            <w:r>
              <w:t xml:space="preserve">FY26 adjusted EPS</w:t>
            </w:r>
          </w:p>
        </w:tc>
        <w:tc>
          <w:tcPr/>
          <w:p>
            <w:pPr>
              <w:pStyle w:val="Compact"/>
              <w:jc w:val="right"/>
            </w:pPr>
            <w:r>
              <w:t xml:space="preserve">High end of</w:t>
            </w:r>
            <w:r>
              <w:t xml:space="preserve"> </w:t>
            </w:r>
            <m:oMath>
              <m:r>
                <m:t>4.50</m:t>
              </m:r>
              <m:r>
                <m:rPr>
                  <m:sty m:val="p"/>
                </m:rPr>
                <m:t>–</m:t>
              </m:r>
            </m:oMath>
            <w:r>
              <w:rPr>
                <w:b/>
                <w:bCs/>
              </w:rPr>
              <w:t xml:space="preserve">4.60</w:t>
            </w:r>
          </w:p>
        </w:tc>
      </w:tr>
      <w:tr>
        <w:tc>
          <w:tcPr/>
          <w:p>
            <w:pPr>
              <w:pStyle w:val="Compact"/>
            </w:pPr>
            <w:r>
              <w:t xml:space="preserve">4Q26 adjusted EPS</w:t>
            </w:r>
          </w:p>
        </w:tc>
        <w:tc>
          <w:tcPr/>
          <w:p>
            <w:pPr>
              <w:pStyle w:val="Compact"/>
              <w:jc w:val="right"/>
            </w:pPr>
            <w:r>
              <w:t xml:space="preserve">Approximately</w:t>
            </w:r>
            <w:r>
              <w:t xml:space="preserve"> </w:t>
            </w:r>
            <w:r>
              <w:rPr>
                <w:b/>
                <w:bCs/>
              </w:rPr>
              <w:t xml:space="preserve">$1.51</w:t>
            </w:r>
          </w:p>
        </w:tc>
      </w:tr>
      <w:tr>
        <w:tc>
          <w:tcPr/>
          <w:p>
            <w:pPr>
              <w:pStyle w:val="Compact"/>
            </w:pPr>
            <w:r>
              <w:t xml:space="preserve">FY26 sales</w:t>
            </w:r>
          </w:p>
        </w:tc>
        <w:tc>
          <w:tcPr/>
          <w:p>
            <w:pPr>
              <w:pStyle w:val="Compact"/>
              <w:jc w:val="right"/>
            </w:pPr>
            <m:oMath>
              <m:r>
                <m:t>84</m:t>
              </m:r>
              <m:r>
                <m:t>B</m:t>
              </m:r>
              <m:r>
                <m:rPr>
                  <m:sty m:val="p"/>
                </m:rPr>
                <m:t>–</m:t>
              </m:r>
            </m:oMath>
            <w:r>
              <w:rPr>
                <w:b/>
                <w:bCs/>
              </w:rPr>
              <w:t xml:space="preserve">85B</w:t>
            </w:r>
          </w:p>
        </w:tc>
      </w:tr>
      <w:tr>
        <w:tc>
          <w:tcPr/>
          <w:p>
            <w:pPr>
              <w:pStyle w:val="Compact"/>
            </w:pPr>
            <w:r>
              <w:t xml:space="preserve">4Q26 U.S. local case growth</w:t>
            </w:r>
          </w:p>
        </w:tc>
        <w:tc>
          <w:tcPr/>
          <w:p>
            <w:pPr>
              <w:pStyle w:val="Compact"/>
              <w:jc w:val="right"/>
            </w:pPr>
            <w:r>
              <w:t xml:space="preserve">At least</w:t>
            </w:r>
            <w:r>
              <w:t xml:space="preserve"> </w:t>
            </w:r>
            <w:r>
              <w:rPr>
                <w:b/>
                <w:bCs/>
              </w:rPr>
              <w:t xml:space="preserve">2.5%</w:t>
            </w:r>
          </w:p>
        </w:tc>
      </w:tr>
      <w:tr>
        <w:tc>
          <w:tcPr/>
          <w:p>
            <w:pPr>
              <w:pStyle w:val="Compact"/>
            </w:pPr>
            <w:r>
              <w:t xml:space="preserve">FY26 product-cost inflation</w:t>
            </w:r>
          </w:p>
        </w:tc>
        <w:tc>
          <w:tcPr/>
          <w:p>
            <w:pPr>
              <w:pStyle w:val="Compact"/>
              <w:jc w:val="right"/>
            </w:pPr>
            <w:r>
              <w:t xml:space="preserve">Roughly</w:t>
            </w:r>
            <w:r>
              <w:t xml:space="preserve"> </w:t>
            </w:r>
            <w:r>
              <w:rPr>
                <w:b/>
                <w:bCs/>
              </w:rPr>
              <w:t xml:space="preserve">2%</w:t>
            </w:r>
          </w:p>
        </w:tc>
      </w:tr>
      <w:tr>
        <w:tc>
          <w:tcPr/>
          <w:p>
            <w:pPr>
              <w:pStyle w:val="Compact"/>
            </w:pPr>
            <w:r>
              <w:t xml:space="preserve">4Q adjusted interest expense</w:t>
            </w:r>
          </w:p>
        </w:tc>
        <w:tc>
          <w:tcPr/>
          <w:p>
            <w:pPr>
              <w:pStyle w:val="Compact"/>
              <w:jc w:val="right"/>
            </w:pPr>
            <m:oMath>
              <m:r>
                <m:t>175</m:t>
              </m:r>
              <m:r>
                <m:t>M</m:t>
              </m:r>
              <m:r>
                <m:rPr>
                  <m:sty m:val="p"/>
                </m:rPr>
                <m:t>–</m:t>
              </m:r>
            </m:oMath>
            <w:r>
              <w:rPr>
                <w:b/>
                <w:bCs/>
              </w:rPr>
              <w:t xml:space="preserve">180M</w:t>
            </w:r>
          </w:p>
        </w:tc>
      </w:tr>
      <w:tr>
        <w:tc>
          <w:tcPr/>
          <w:p>
            <w:pPr>
              <w:pStyle w:val="Compact"/>
            </w:pPr>
            <w:r>
              <w:t xml:space="preserve">4Q adjusted tax rate</w:t>
            </w:r>
          </w:p>
        </w:tc>
        <w:tc>
          <w:tcPr/>
          <w:p>
            <w:pPr>
              <w:pStyle w:val="Compact"/>
              <w:jc w:val="right"/>
            </w:pPr>
            <w:r>
              <w:t xml:space="preserve">Approximately</w:t>
            </w:r>
            <w:r>
              <w:t xml:space="preserve"> </w:t>
            </w:r>
            <w:r>
              <w:rPr>
                <w:b/>
                <w:bCs/>
              </w:rPr>
              <w:t xml:space="preserve">24%</w:t>
            </w:r>
          </w:p>
        </w:tc>
      </w:tr>
      <w:tr>
        <w:tc>
          <w:tcPr/>
          <w:p>
            <w:pPr>
              <w:pStyle w:val="Compact"/>
            </w:pPr>
            <w:r>
              <w:t xml:space="preserve">FY26 adjusted D&amp;A</w:t>
            </w:r>
          </w:p>
        </w:tc>
        <w:tc>
          <w:tcPr/>
          <w:p>
            <w:pPr>
              <w:pStyle w:val="Compact"/>
              <w:jc w:val="right"/>
            </w:pPr>
            <w:r>
              <w:t xml:space="preserve">Approximately</w:t>
            </w:r>
            <w:r>
              <w:t xml:space="preserve"> </w:t>
            </w:r>
            <w:r>
              <w:rPr>
                <w:b/>
                <w:bCs/>
              </w:rPr>
              <w:t xml:space="preserve">$820M</w:t>
            </w:r>
          </w:p>
        </w:tc>
      </w:tr>
    </w:tbl>
    <w:p>
      <w:pPr>
        <w:pStyle w:val="BodyText"/>
      </w:pPr>
      <w:r>
        <w:t xml:space="preserve">With year-to-date sales of</w:t>
      </w:r>
      <w:r>
        <w:t xml:space="preserve"> </w:t>
      </w:r>
      <m:oMath>
        <m:r>
          <m:t>62.4</m:t>
        </m:r>
        <m:r>
          <m:t>B</m:t>
        </m:r>
        <m:r>
          <m:rPr>
            <m:sty m:val="p"/>
          </m:rPr>
          <m:t>*</m:t>
        </m:r>
        <m:r>
          <m:rPr>
            <m:sty m:val="p"/>
          </m:rPr>
          <m:t>*</m:t>
        </m:r>
        <m:r>
          <m:t>t</m:t>
        </m:r>
        <m:r>
          <m:t>h</m:t>
        </m:r>
        <m:r>
          <m:t>r</m:t>
        </m:r>
        <m:r>
          <m:t>o</m:t>
        </m:r>
        <m:r>
          <m:t>u</m:t>
        </m:r>
        <m:r>
          <m:t>g</m:t>
        </m:r>
        <m:r>
          <m:t>h</m:t>
        </m:r>
        <m:r>
          <m:t>f</m:t>
        </m:r>
        <m:r>
          <m:t>i</m:t>
        </m:r>
        <m:r>
          <m:t>s</m:t>
        </m:r>
        <m:r>
          <m:t>c</m:t>
        </m:r>
        <m:r>
          <m:t>a</m:t>
        </m:r>
        <m:r>
          <m:t>l</m:t>
        </m:r>
        <m:r>
          <m:t>3</m:t>
        </m:r>
        <m:r>
          <m:t>Q</m:t>
        </m:r>
        <m:r>
          <m:rPr>
            <m:sty m:val="p"/>
          </m:rPr>
          <m:t>,</m:t>
        </m:r>
        <m:r>
          <m:t>t</m:t>
        </m:r>
        <m:r>
          <m:t>h</m:t>
        </m:r>
        <m:r>
          <m:t>e</m:t>
        </m:r>
        <m:r>
          <m:t>f</m:t>
        </m:r>
        <m:r>
          <m:t>u</m:t>
        </m:r>
        <m:r>
          <m:t>l</m:t>
        </m:r>
        <m:r>
          <m:t>l</m:t>
        </m:r>
        <m:r>
          <m:rPr>
            <m:sty m:val="p"/>
          </m:rPr>
          <m:t>−</m:t>
        </m:r>
        <m:r>
          <m:t>y</m:t>
        </m:r>
        <m:r>
          <m:t>e</m:t>
        </m:r>
        <m:r>
          <m:t>a</m:t>
        </m:r>
        <m:r>
          <m:t>r</m:t>
        </m:r>
        <m:r>
          <m:t>s</m:t>
        </m:r>
        <m:r>
          <m:t>a</m:t>
        </m:r>
        <m:r>
          <m:t>l</m:t>
        </m:r>
        <m:r>
          <m:t>e</m:t>
        </m:r>
        <m:r>
          <m:t>s</m:t>
        </m:r>
        <m:r>
          <m:t>f</m:t>
        </m:r>
        <m:r>
          <m:t>r</m:t>
        </m:r>
        <m:r>
          <m:t>a</m:t>
        </m:r>
        <m:r>
          <m:t>m</m:t>
        </m:r>
        <m:r>
          <m:t>e</m:t>
        </m:r>
        <m:r>
          <m:t>w</m:t>
        </m:r>
        <m:r>
          <m:t>o</m:t>
        </m:r>
        <m:r>
          <m:t>r</m:t>
        </m:r>
        <m:r>
          <m:t>k</m:t>
        </m:r>
        <m:r>
          <m:t>i</m:t>
        </m:r>
        <m:r>
          <m:t>m</m:t>
        </m:r>
        <m:r>
          <m:t>p</m:t>
        </m:r>
        <m:r>
          <m:t>l</m:t>
        </m:r>
        <m:r>
          <m:t>i</m:t>
        </m:r>
        <m:r>
          <m:t>e</m:t>
        </m:r>
        <m:r>
          <m:t>s</m:t>
        </m:r>
        <m:r>
          <m:t>f</m:t>
        </m:r>
        <m:r>
          <m:t>i</m:t>
        </m:r>
        <m:r>
          <m:t>s</m:t>
        </m:r>
        <m:r>
          <m:t>c</m:t>
        </m:r>
        <m:r>
          <m:t>a</m:t>
        </m:r>
        <m:r>
          <m:t>l</m:t>
        </m:r>
        <m:r>
          <m:t>4</m:t>
        </m:r>
        <m:r>
          <m:t>Q</m:t>
        </m:r>
        <m:r>
          <m:t>r</m:t>
        </m:r>
        <m:r>
          <m:t>e</m:t>
        </m:r>
        <m:r>
          <m:t>v</m:t>
        </m:r>
        <m:r>
          <m:t>e</m:t>
        </m:r>
        <m:r>
          <m:t>n</m:t>
        </m:r>
        <m:r>
          <m:t>u</m:t>
        </m:r>
        <m:r>
          <m:t>e</m:t>
        </m:r>
        <m:r>
          <m:t>o</m:t>
        </m:r>
        <m:r>
          <m:t>f</m:t>
        </m:r>
        <m:r>
          <m:t>r</m:t>
        </m:r>
        <m:r>
          <m:t>o</m:t>
        </m:r>
        <m:r>
          <m:t>u</m:t>
        </m:r>
        <m:r>
          <m:t>g</m:t>
        </m:r>
        <m:r>
          <m:t>h</m:t>
        </m:r>
        <m:r>
          <m:t>l</m:t>
        </m:r>
        <m:r>
          <m:t>y</m:t>
        </m:r>
        <m:r>
          <m:rPr>
            <m:sty m:val="p"/>
          </m:rPr>
          <m:t>*</m:t>
        </m:r>
        <m:r>
          <m:rPr>
            <m:sty m:val="p"/>
          </m:rPr>
          <m:t>*</m:t>
        </m:r>
      </m:oMath>
      <w:r>
        <w:rPr>
          <w:b/>
          <w:bCs/>
        </w:rPr>
        <w:t xml:space="preserve">21.6B–$22.6B</w:t>
      </w:r>
      <w:r>
        <w:t xml:space="preserve">, versus $21.1B in the prior-year quarter. That corresponds to approximately</w:t>
      </w:r>
      <w:r>
        <w:t xml:space="preserve"> </w:t>
      </w:r>
      <w:r>
        <w:rPr>
          <w:b/>
          <w:bCs/>
        </w:rPr>
        <w:t xml:space="preserve">2%–7% year-over-year growth</w:t>
      </w:r>
      <w:r>
        <w:t xml:space="preserve">, with the outcome dependent on volume, inflation, foreign exchange, and acquisitions.</w:t>
      </w:r>
    </w:p>
    <w:p>
      <w:pPr>
        <w:pStyle w:val="BodyText"/>
      </w:pPr>
      <w:r>
        <w:t xml:space="preserve">The</w:t>
      </w:r>
      <w:r>
        <w:t xml:space="preserve"> </w:t>
      </w:r>
      <m:oMath>
        <m:r>
          <m:t>1.51</m:t>
        </m:r>
        <m:r>
          <m:t>q</m:t>
        </m:r>
        <m:r>
          <m:t>u</m:t>
        </m:r>
        <m:r>
          <m:t>a</m:t>
        </m:r>
        <m:r>
          <m:t>r</m:t>
        </m:r>
        <m:r>
          <m:t>t</m:t>
        </m:r>
        <m:r>
          <m:t>e</m:t>
        </m:r>
        <m:r>
          <m:t>r</m:t>
        </m:r>
        <m:r>
          <m:t>l</m:t>
        </m:r>
        <m:r>
          <m:t>y</m:t>
        </m:r>
        <m:r>
          <m:t>a</m:t>
        </m:r>
        <m:r>
          <m:t>d</m:t>
        </m:r>
        <m:r>
          <m:t>j</m:t>
        </m:r>
        <m:r>
          <m:t>u</m:t>
        </m:r>
        <m:r>
          <m:t>s</m:t>
        </m:r>
        <m:r>
          <m:t>t</m:t>
        </m:r>
        <m:r>
          <m:t>e</m:t>
        </m:r>
        <m:r>
          <m:t>d</m:t>
        </m:r>
        <m:r>
          <m:rPr>
            <m:sty m:val="p"/>
          </m:rPr>
          <m:t>−</m:t>
        </m:r>
        <m:r>
          <m:t>E</m:t>
        </m:r>
        <m:r>
          <m:t>P</m:t>
        </m:r>
        <m:r>
          <m:t>S</m:t>
        </m:r>
        <m:r>
          <m:t>v</m:t>
        </m:r>
        <m:r>
          <m:t>i</m:t>
        </m:r>
        <m:r>
          <m:t>e</m:t>
        </m:r>
        <m:r>
          <m:t>w</m:t>
        </m:r>
        <m:r>
          <m:t>w</m:t>
        </m:r>
        <m:r>
          <m:t>o</m:t>
        </m:r>
        <m:r>
          <m:t>u</m:t>
        </m:r>
        <m:r>
          <m:t>l</m:t>
        </m:r>
        <m:r>
          <m:t>d</m:t>
        </m:r>
        <m:r>
          <m:t>r</m:t>
        </m:r>
        <m:r>
          <m:t>e</m:t>
        </m:r>
        <m:r>
          <m:t>p</m:t>
        </m:r>
        <m:r>
          <m:t>r</m:t>
        </m:r>
        <m:r>
          <m:t>e</m:t>
        </m:r>
        <m:r>
          <m:t>s</m:t>
        </m:r>
        <m:r>
          <m:t>e</m:t>
        </m:r>
        <m:r>
          <m:t>n</m:t>
        </m:r>
        <m:r>
          <m:t>t</m:t>
        </m:r>
        <m:r>
          <m:t>m</m:t>
        </m:r>
        <m:r>
          <m:t>o</m:t>
        </m:r>
        <m:r>
          <m:t>d</m:t>
        </m:r>
        <m:r>
          <m:t>e</m:t>
        </m:r>
        <m:r>
          <m:t>s</m:t>
        </m:r>
        <m:r>
          <m:t>t</m:t>
        </m:r>
        <m:r>
          <m:t>g</m:t>
        </m:r>
        <m:r>
          <m:t>r</m:t>
        </m:r>
        <m:r>
          <m:t>o</m:t>
        </m:r>
        <m:r>
          <m:t>w</m:t>
        </m:r>
        <m:r>
          <m:t>t</m:t>
        </m:r>
        <m:r>
          <m:t>h</m:t>
        </m:r>
        <m:r>
          <m:t>a</m:t>
        </m:r>
        <m:r>
          <m:t>g</m:t>
        </m:r>
        <m:r>
          <m:t>a</m:t>
        </m:r>
        <m:r>
          <m:t>i</m:t>
        </m:r>
        <m:r>
          <m:t>n</m:t>
        </m:r>
        <m:r>
          <m:t>s</m:t>
        </m:r>
        <m:r>
          <m:t>t</m:t>
        </m:r>
        <m:r>
          <m:t>f</m:t>
        </m:r>
        <m:r>
          <m:t>i</m:t>
        </m:r>
        <m:r>
          <m:t>s</m:t>
        </m:r>
        <m:r>
          <m:t>c</m:t>
        </m:r>
        <m:r>
          <m:t>a</m:t>
        </m:r>
        <m:r>
          <m:t>l</m:t>
        </m:r>
        <m:r>
          <m:t>4</m:t>
        </m:r>
        <m:r>
          <m:t>Q</m:t>
        </m:r>
        <m:r>
          <m:t>25</m:t>
        </m:r>
        <m:r>
          <m:t>a</m:t>
        </m:r>
        <m:r>
          <m:t>d</m:t>
        </m:r>
        <m:r>
          <m:t>j</m:t>
        </m:r>
        <m:r>
          <m:t>u</m:t>
        </m:r>
        <m:r>
          <m:t>s</m:t>
        </m:r>
        <m:r>
          <m:t>t</m:t>
        </m:r>
        <m:r>
          <m:t>e</m:t>
        </m:r>
        <m:r>
          <m:t>d</m:t>
        </m:r>
        <m:r>
          <m:t>E</m:t>
        </m:r>
        <m:r>
          <m:t>P</m:t>
        </m:r>
        <m:r>
          <m:t>S</m:t>
        </m:r>
        <m:r>
          <m:t>o</m:t>
        </m:r>
        <m:r>
          <m:t>f</m:t>
        </m:r>
        <m:r>
          <m:rPr>
            <m:sty m:val="p"/>
          </m:rPr>
          <m:t>*</m:t>
        </m:r>
        <m:r>
          <m:rPr>
            <m:sty m:val="p"/>
          </m:rPr>
          <m:t>*</m:t>
        </m:r>
      </m:oMath>
      <w:r>
        <w:t xml:space="preserve">1.48**. The quarter is therefore not set up as a major earnings-growth inflection by itself; rather, it is intended to validate that Sysco is exiting FY26 with materially better operating momentum than it entered with.</w:t>
      </w:r>
    </w:p>
    <w:p>
      <w:r>
        <w:pict>
          <v:rect style="width:0;height:1.5pt" o:hralign="center" o:hrstd="t" o:hr="t"/>
        </w:pict>
      </w:r>
    </w:p>
    <w:bookmarkEnd w:id="10"/>
    <w:bookmarkStart w:id="12" w:name="the-key-kpi-us-local-case-volume"/>
    <w:p>
      <w:pPr>
        <w:pStyle w:val="Heading2"/>
      </w:pPr>
      <w:r>
        <w:t xml:space="preserve">The key KPI: U.S. local case volume</w:t>
      </w:r>
    </w:p>
    <w:p>
      <w:pPr>
        <w:pStyle w:val="FirstParagraph"/>
      </w:pPr>
      <w:r>
        <w:t xml:space="preserve">The most important figure on the release will be</w:t>
      </w:r>
      <w:r>
        <w:t xml:space="preserve"> </w:t>
      </w:r>
      <w:r>
        <w:rPr>
          <w:b/>
          <w:bCs/>
        </w:rPr>
        <w:t xml:space="preserve">U.S. local case growth</w:t>
      </w:r>
      <w:r>
        <w:t xml:space="preserve">.</w:t>
      </w:r>
    </w:p>
    <w:p>
      <w:pPr>
        <w:pStyle w:val="BodyText"/>
      </w:pPr>
      <w:r>
        <w:t xml:space="preserve">In fiscal 3Q, local case growth accelerated to</w:t>
      </w:r>
      <w:r>
        <w:t xml:space="preserve"> </w:t>
      </w:r>
      <w:r>
        <w:rPr>
          <w:b/>
          <w:bCs/>
        </w:rPr>
        <w:t xml:space="preserve">3.3%</w:t>
      </w:r>
      <w:r>
        <w:t xml:space="preserve">, Sysco’s strongest result in more than three years. That was particularly notable because restaurant traffic remained soft; management cited industry traffic down roughly 1.9% during the quarter. Sysco’s performance therefore suggests it is taking share through sales-force retention, new-account wins, better penetration at existing customers, and selling tools such as AI 360.</w:t>
      </w:r>
    </w:p>
    <w:p>
      <w:pPr>
        <w:pStyle w:val="BodyText"/>
      </w:pPr>
      <w:r>
        <w:t xml:space="preserve">For 4Q, management committed to at least</w:t>
      </w:r>
      <w:r>
        <w:t xml:space="preserve"> </w:t>
      </w:r>
      <w:r>
        <w:rPr>
          <w:b/>
          <w:bCs/>
        </w:rPr>
        <w:t xml:space="preserve">2.5% local growth</w:t>
      </w:r>
      <w:r>
        <w:t xml:space="preserve">. Meeting that target would still be a meaningful reversal from the</w:t>
      </w:r>
      <w:r>
        <w:t xml:space="preserve"> </w:t>
      </w:r>
      <w:r>
        <w:rPr>
          <w:b/>
          <w:bCs/>
        </w:rPr>
        <w:t xml:space="preserve">1.5% local-volume decline</w:t>
      </w:r>
      <w:r>
        <w:t xml:space="preserve"> </w:t>
      </w:r>
      <w:r>
        <w:t xml:space="preserve">reported in fiscal 4Q25.</w:t>
      </w:r>
    </w:p>
    <w:bookmarkStart w:id="11" w:name="what-investors-should-watch"/>
    <w:p>
      <w:pPr>
        <w:pStyle w:val="Heading3"/>
      </w:pPr>
      <w:r>
        <w:t xml:space="preserve">What investors should watch</w:t>
      </w:r>
    </w:p>
    <w:p>
      <w:pPr>
        <w:pStyle w:val="Compact"/>
        <w:numPr>
          <w:ilvl w:val="0"/>
          <w:numId w:val="1002"/>
        </w:numPr>
      </w:pPr>
      <w:r>
        <w:rPr>
          <w:b/>
          <w:bCs/>
        </w:rPr>
        <w:t xml:space="preserve">At least 2.5% local growth:</w:t>
      </w:r>
      <w:r>
        <w:t xml:space="preserve"> </w:t>
      </w:r>
      <w:r>
        <w:t xml:space="preserve">validates that the 3Q result was not a one-quarter spike.</w:t>
      </w:r>
    </w:p>
    <w:p>
      <w:pPr>
        <w:pStyle w:val="Compact"/>
        <w:numPr>
          <w:ilvl w:val="0"/>
          <w:numId w:val="1002"/>
        </w:numPr>
      </w:pPr>
      <w:r>
        <w:rPr>
          <w:b/>
          <w:bCs/>
        </w:rPr>
        <w:t xml:space="preserve">Above 3%:</w:t>
      </w:r>
      <w:r>
        <w:t xml:space="preserve"> </w:t>
      </w:r>
      <w:r>
        <w:t xml:space="preserve">supports a more constructive FY27 organic-growth setup.</w:t>
      </w:r>
    </w:p>
    <w:p>
      <w:pPr>
        <w:pStyle w:val="Compact"/>
        <w:numPr>
          <w:ilvl w:val="0"/>
          <w:numId w:val="1002"/>
        </w:numPr>
      </w:pPr>
      <w:r>
        <w:rPr>
          <w:b/>
          <w:bCs/>
        </w:rPr>
        <w:t xml:space="preserve">Below 2.5%:</w:t>
      </w:r>
      <w:r>
        <w:t xml:space="preserve"> </w:t>
      </w:r>
      <w:r>
        <w:t xml:space="preserve">likely revives concern that Sysco’s recovery remains overly dependent on pricing, sourcing, or temporary sales initiatives rather than durable share gains.</w:t>
      </w:r>
    </w:p>
    <w:p>
      <w:pPr>
        <w:pStyle w:val="Compact"/>
        <w:numPr>
          <w:ilvl w:val="0"/>
          <w:numId w:val="1002"/>
        </w:numPr>
      </w:pPr>
      <w:r>
        <w:rPr>
          <w:b/>
          <w:bCs/>
        </w:rPr>
        <w:t xml:space="preserve">New, loss, and penetration trends:</w:t>
      </w:r>
      <w:r>
        <w:t xml:space="preserve"> </w:t>
      </w:r>
      <w:r>
        <w:t xml:space="preserve">management has emphasized that all three are improving, with penetration particularly strong in 3Q. Details on customer attrition will matter as much as new-account wins.</w:t>
      </w:r>
    </w:p>
    <w:p>
      <w:pPr>
        <w:pStyle w:val="FirstParagraph"/>
      </w:pPr>
      <w:r>
        <w:t xml:space="preserve">The primary counterweight remains national restaurant demand. Sysco said its national restaurant customers were experiencing same-store volume pressure consistent with broader traffic weakness. It expected 4Q national volume improvement to come chiefly from non-restaurant verticals—healthcare, hospitality, education, and foodservice management—as well as new-account onboarding, rather than a broad recovery in chain-restaurant traffic.</w:t>
      </w:r>
    </w:p>
    <w:p>
      <w:r>
        <w:pict>
          <v:rect style="width:0;height:1.5pt" o:hralign="center" o:hrstd="t" o:hr="t"/>
        </w:pict>
      </w:r>
    </w:p>
    <w:bookmarkEnd w:id="11"/>
    <w:bookmarkEnd w:id="12"/>
    <w:bookmarkStart w:id="13" w:name="Xa4d3649ea51e188b57dcc987b64354a458ad071"/>
    <w:p>
      <w:pPr>
        <w:pStyle w:val="Heading2"/>
      </w:pPr>
      <w:r>
        <w:t xml:space="preserve">Margins: strong gross profit, but expense discipline still matters</w:t>
      </w:r>
    </w:p>
    <w:p>
      <w:pPr>
        <w:pStyle w:val="FirstParagraph"/>
      </w:pPr>
      <w:r>
        <w:t xml:space="preserve">Sysco’s fiscal 3Q gross margin expanded</w:t>
      </w:r>
      <w:r>
        <w:t xml:space="preserve"> </w:t>
      </w:r>
      <w:r>
        <w:rPr>
          <w:b/>
          <w:bCs/>
        </w:rPr>
        <w:t xml:space="preserve">31 basis points</w:t>
      </w:r>
      <w:r>
        <w:t xml:space="preserve"> </w:t>
      </w:r>
      <w:r>
        <w:t xml:space="preserve">year over year to</w:t>
      </w:r>
      <w:r>
        <w:t xml:space="preserve"> </w:t>
      </w:r>
      <w:r>
        <w:rPr>
          <w:b/>
          <w:bCs/>
        </w:rPr>
        <w:t xml:space="preserve">18.6%</w:t>
      </w:r>
      <w:r>
        <w:t xml:space="preserve">, driven by strategic sourcing, product-cost management, local-customer mix, and improving private-label mix. U.S. Foodservice gross margin expanded</w:t>
      </w:r>
      <w:r>
        <w:t xml:space="preserve"> </w:t>
      </w:r>
      <w:r>
        <w:rPr>
          <w:b/>
          <w:bCs/>
        </w:rPr>
        <w:t xml:space="preserve">38 basis points</w:t>
      </w:r>
      <w:r>
        <w:t xml:space="preserve">.</w:t>
      </w:r>
    </w:p>
    <w:p>
      <w:pPr>
        <w:pStyle w:val="BodyText"/>
      </w:pPr>
      <w:r>
        <w:t xml:space="preserve">That is an encouraging signal, particularly since local customers are structurally more attractive than larger national accounts. However, the profit conversion story is not yet clean: fiscal 3Q adjusted operating income declined slightly year over year as higher incentive compensation, sales headcount, and capacity investments offset gross-profit growth.</w:t>
      </w:r>
    </w:p>
    <w:p>
      <w:pPr>
        <w:pStyle w:val="BodyText"/>
      </w:pPr>
      <w:r>
        <w:t xml:space="preserve">For 4Q, investors should focus on:</w:t>
      </w:r>
    </w:p>
    <w:p>
      <w:pPr>
        <w:pStyle w:val="Compact"/>
        <w:numPr>
          <w:ilvl w:val="0"/>
          <w:numId w:val="1003"/>
        </w:numPr>
      </w:pPr>
      <w:r>
        <w:rPr>
          <w:b/>
          <w:bCs/>
        </w:rPr>
        <w:t xml:space="preserve">Gross-margin progression:</w:t>
      </w:r>
      <w:r>
        <w:t xml:space="preserve"> </w:t>
      </w:r>
      <w:r>
        <w:t xml:space="preserve">whether sourcing and mix benefits remain durable.</w:t>
      </w:r>
    </w:p>
    <w:p>
      <w:pPr>
        <w:pStyle w:val="Compact"/>
        <w:numPr>
          <w:ilvl w:val="0"/>
          <w:numId w:val="1003"/>
        </w:numPr>
      </w:pPr>
      <w:r>
        <w:rPr>
          <w:b/>
          <w:bCs/>
        </w:rPr>
        <w:t xml:space="preserve">Adjusted operating-margin leverage:</w:t>
      </w:r>
      <w:r>
        <w:t xml:space="preserve"> </w:t>
      </w:r>
      <w:r>
        <w:t xml:space="preserve">whether sales and supply-chain investments begin to scale more efficiently.</w:t>
      </w:r>
    </w:p>
    <w:p>
      <w:pPr>
        <w:pStyle w:val="Compact"/>
        <w:numPr>
          <w:ilvl w:val="0"/>
          <w:numId w:val="1003"/>
        </w:numPr>
      </w:pPr>
      <w:r>
        <w:rPr>
          <w:b/>
          <w:bCs/>
        </w:rPr>
        <w:t xml:space="preserve">Corporate costs:</w:t>
      </w:r>
      <w:r>
        <w:t xml:space="preserve"> </w:t>
      </w:r>
      <w:r>
        <w:t xml:space="preserve">Sysco identified</w:t>
      </w:r>
      <w:r>
        <w:t xml:space="preserve"> </w:t>
      </w:r>
      <w:r>
        <w:rPr>
          <w:b/>
          <w:bCs/>
        </w:rPr>
        <w:t xml:space="preserve">$60M of run-rate savings</w:t>
      </w:r>
      <w:r>
        <w:t xml:space="preserve">, with a partial 4Q benefit already incorporated into guidance.</w:t>
      </w:r>
    </w:p>
    <w:p>
      <w:pPr>
        <w:pStyle w:val="Compact"/>
        <w:numPr>
          <w:ilvl w:val="0"/>
          <w:numId w:val="1003"/>
        </w:numPr>
      </w:pPr>
      <w:r>
        <w:rPr>
          <w:b/>
          <w:bCs/>
        </w:rPr>
        <w:t xml:space="preserve">Sysco Brand penetration:</w:t>
      </w:r>
      <w:r>
        <w:t xml:space="preserve"> </w:t>
      </w:r>
      <w:r>
        <w:t xml:space="preserve">private-label mix had declined year over year, though management said the rate of decline improved sequentially. A return to growth would support both margin and the value proposition for local customers.</w:t>
      </w:r>
    </w:p>
    <w:p>
      <w:pPr>
        <w:pStyle w:val="FirstParagraph"/>
      </w:pPr>
      <w:r>
        <w:t xml:space="preserve">The incentive-compensation headwind is also becoming less burdensome. FY26 included an approximately</w:t>
      </w:r>
      <w:r>
        <w:t xml:space="preserve"> </w:t>
      </w:r>
      <m:oMath>
        <m:r>
          <m:t>100</m:t>
        </m:r>
        <m:r>
          <m:t>M</m:t>
        </m:r>
        <m:r>
          <m:rPr>
            <m:sty m:val="p"/>
          </m:rPr>
          <m:t>*</m:t>
        </m:r>
        <m:r>
          <m:rPr>
            <m:sty m:val="p"/>
          </m:rPr>
          <m:t>*</m:t>
        </m:r>
        <m:r>
          <m:rPr>
            <m:sty m:val="p"/>
          </m:rPr>
          <m:t>,</m:t>
        </m:r>
        <m:r>
          <m:t>o</m:t>
        </m:r>
        <m:r>
          <m:t>r</m:t>
        </m:r>
        <m:r>
          <m:rPr>
            <m:sty m:val="p"/>
          </m:rPr>
          <m:t>*</m:t>
        </m:r>
        <m:r>
          <m:rPr>
            <m:sty m:val="p"/>
          </m:rPr>
          <m:t>*</m:t>
        </m:r>
      </m:oMath>
      <w:r>
        <w:rPr>
          <w:b/>
          <w:bCs/>
        </w:rPr>
        <w:t xml:space="preserve">0.16 per share</w:t>
      </w:r>
      <w:r>
        <w:t xml:space="preserve">, year-over-year headwind from lapping unusually low FY25 incentive compensation. The remaining 4Q carryover impact was expected to be only about</w:t>
      </w:r>
      <w:r>
        <w:t xml:space="preserve"> </w:t>
      </w:r>
      <w:r>
        <w:rPr>
          <w:b/>
          <w:bCs/>
        </w:rPr>
        <w:t xml:space="preserve">$11M</w:t>
      </w:r>
      <w:r>
        <w:t xml:space="preserve">. That creates a cleaner earnings-comparison backdrop heading into FY27.</w:t>
      </w:r>
    </w:p>
    <w:p>
      <w:r>
        <w:pict>
          <v:rect style="width:0;height:1.5pt" o:hralign="center" o:hrstd="t" o:hr="t"/>
        </w:pict>
      </w:r>
    </w:p>
    <w:bookmarkEnd w:id="13"/>
    <w:bookmarkStart w:id="14" w:name="X214947d1e339ba19574eca97fac46099526de89"/>
    <w:p>
      <w:pPr>
        <w:pStyle w:val="Heading2"/>
      </w:pPr>
      <w:r>
        <w:t xml:space="preserve">FY27 outlook will likely matter more than the FY26 finish</w:t>
      </w:r>
    </w:p>
    <w:p>
      <w:pPr>
        <w:pStyle w:val="FirstParagraph"/>
      </w:pPr>
      <w:r>
        <w:t xml:space="preserve">A decisive FY26 high-end finish is important, but investors will likely focus on the durability of the implied FY27 earnings algorithm.</w:t>
      </w:r>
    </w:p>
    <w:p>
      <w:pPr>
        <w:pStyle w:val="BodyText"/>
      </w:pPr>
      <w:r>
        <w:t xml:space="preserve">The core ingredients for a constructive outlook are in place:</w:t>
      </w:r>
    </w:p>
    <w:p>
      <w:pPr>
        <w:pStyle w:val="Compact"/>
        <w:numPr>
          <w:ilvl w:val="0"/>
          <w:numId w:val="1004"/>
        </w:numPr>
      </w:pPr>
      <w:r>
        <w:t xml:space="preserve">improving local case trends;</w:t>
      </w:r>
    </w:p>
    <w:p>
      <w:pPr>
        <w:pStyle w:val="Compact"/>
        <w:numPr>
          <w:ilvl w:val="0"/>
          <w:numId w:val="1004"/>
        </w:numPr>
      </w:pPr>
      <w:r>
        <w:t xml:space="preserve">better sales-force productivity and retention;</w:t>
      </w:r>
    </w:p>
    <w:p>
      <w:pPr>
        <w:pStyle w:val="Compact"/>
        <w:numPr>
          <w:ilvl w:val="0"/>
          <w:numId w:val="1004"/>
        </w:numPr>
      </w:pPr>
      <w:r>
        <w:t xml:space="preserve">strategic-sourcing and supply-chain productivity benefits;</w:t>
      </w:r>
    </w:p>
    <w:p>
      <w:pPr>
        <w:pStyle w:val="Compact"/>
        <w:numPr>
          <w:ilvl w:val="0"/>
          <w:numId w:val="1004"/>
        </w:numPr>
      </w:pPr>
      <w:r>
        <w:t xml:space="preserve">cost savings beginning to carry into FY27;</w:t>
      </w:r>
    </w:p>
    <w:p>
      <w:pPr>
        <w:pStyle w:val="Compact"/>
        <w:numPr>
          <w:ilvl w:val="0"/>
          <w:numId w:val="1004"/>
        </w:numPr>
      </w:pPr>
      <w:r>
        <w:t xml:space="preserve">normalization of the FY26 incentive-compensation comparison.</w:t>
      </w:r>
    </w:p>
    <w:p>
      <w:pPr>
        <w:pStyle w:val="FirstParagraph"/>
      </w:pPr>
      <w:r>
        <w:t xml:space="preserve">The crucial question is whether management can translate those elements into an outlook that supports mid-single-digit or better adjusted EPS growth</w:t>
      </w:r>
      <w:r>
        <w:t xml:space="preserve"> </w:t>
      </w:r>
      <w:r>
        <w:rPr>
          <w:b/>
          <w:bCs/>
        </w:rPr>
        <w:t xml:space="preserve">before</w:t>
      </w:r>
      <w:r>
        <w:t xml:space="preserve"> </w:t>
      </w:r>
      <w:r>
        <w:t xml:space="preserve">any contribution from Restaurant Depot. A cautious FY27 guide could be interpreted as evidence that restaurant traffic and national-account pressure remain meaningful constraints.</w:t>
      </w:r>
    </w:p>
    <w:p>
      <w:r>
        <w:pict>
          <v:rect style="width:0;height:1.5pt" o:hralign="center" o:hrstd="t" o:hr="t"/>
        </w:pict>
      </w:r>
    </w:p>
    <w:bookmarkEnd w:id="14"/>
    <w:bookmarkStart w:id="16" w:name="X96a573e47d24662186a3de535cedfb4edbe9677"/>
    <w:p>
      <w:pPr>
        <w:pStyle w:val="Heading2"/>
      </w:pPr>
      <w:r>
        <w:t xml:space="preserve">Restaurant Depot: the strategic catalyst and the principal risk</w:t>
      </w:r>
    </w:p>
    <w:p>
      <w:pPr>
        <w:pStyle w:val="FirstParagraph"/>
      </w:pPr>
      <w:r>
        <w:t xml:space="preserve">The pending acquisition of</w:t>
      </w:r>
      <w:r>
        <w:t xml:space="preserve"> </w:t>
      </w:r>
      <w:r>
        <w:rPr>
          <w:b/>
          <w:bCs/>
        </w:rPr>
        <w:t xml:space="preserve">Jetro Restaurant Depot</w:t>
      </w:r>
      <w:r>
        <w:t xml:space="preserve"> </w:t>
      </w:r>
      <w:r>
        <w:t xml:space="preserve">transforms the investment debate. Sysco has characterized Restaurant Depot as a highly cash-generative, 100%-local, cash-and-carry foodservice platform with approximately:</w:t>
      </w:r>
    </w:p>
    <w:p>
      <w:pPr>
        <w:pStyle w:val="Compact"/>
        <w:numPr>
          <w:ilvl w:val="0"/>
          <w:numId w:val="1005"/>
        </w:numPr>
      </w:pPr>
      <w:r>
        <w:rPr>
          <w:b/>
          <w:bCs/>
        </w:rPr>
        <w:t xml:space="preserve">$16B</w:t>
      </w:r>
      <w:r>
        <w:t xml:space="preserve"> </w:t>
      </w:r>
      <w:r>
        <w:t xml:space="preserve">of 2025 revenue,</w:t>
      </w:r>
    </w:p>
    <w:p>
      <w:pPr>
        <w:pStyle w:val="Compact"/>
        <w:numPr>
          <w:ilvl w:val="0"/>
          <w:numId w:val="1005"/>
        </w:numPr>
      </w:pPr>
      <w:r>
        <w:t xml:space="preserve">approximately</w:t>
      </w:r>
      <w:r>
        <w:t xml:space="preserve"> </w:t>
      </w:r>
      <w:r>
        <w:rPr>
          <w:b/>
          <w:bCs/>
        </w:rPr>
        <w:t xml:space="preserve">$2.1B</w:t>
      </w:r>
      <w:r>
        <w:t xml:space="preserve"> </w:t>
      </w:r>
      <w:r>
        <w:t xml:space="preserve">of adjusted EBITDA,</w:t>
      </w:r>
    </w:p>
    <w:p>
      <w:pPr>
        <w:pStyle w:val="Compact"/>
        <w:numPr>
          <w:ilvl w:val="0"/>
          <w:numId w:val="1005"/>
        </w:numPr>
      </w:pPr>
      <w:r>
        <w:t xml:space="preserve">approximately</w:t>
      </w:r>
      <w:r>
        <w:t xml:space="preserve"> </w:t>
      </w:r>
      <w:r>
        <w:rPr>
          <w:b/>
          <w:bCs/>
        </w:rPr>
        <w:t xml:space="preserve">$1.9B</w:t>
      </w:r>
      <w:r>
        <w:t xml:space="preserve"> </w:t>
      </w:r>
      <w:r>
        <w:t xml:space="preserve">of free cash flow,</w:t>
      </w:r>
    </w:p>
    <w:p>
      <w:pPr>
        <w:pStyle w:val="Compact"/>
        <w:numPr>
          <w:ilvl w:val="0"/>
          <w:numId w:val="1005"/>
        </w:numPr>
      </w:pPr>
      <w:r>
        <w:t xml:space="preserve">a roughly</w:t>
      </w:r>
      <w:r>
        <w:t xml:space="preserve"> </w:t>
      </w:r>
      <w:r>
        <w:rPr>
          <w:b/>
          <w:bCs/>
        </w:rPr>
        <w:t xml:space="preserve">13%</w:t>
      </w:r>
      <w:r>
        <w:t xml:space="preserve"> </w:t>
      </w:r>
      <w:r>
        <w:t xml:space="preserve">adjusted EBITDA margin,</w:t>
      </w:r>
    </w:p>
    <w:p>
      <w:pPr>
        <w:pStyle w:val="Compact"/>
        <w:numPr>
          <w:ilvl w:val="0"/>
          <w:numId w:val="1005"/>
        </w:numPr>
      </w:pPr>
      <w:r>
        <w:rPr>
          <w:b/>
          <w:bCs/>
        </w:rPr>
        <w:t xml:space="preserve">167</w:t>
      </w:r>
      <w:r>
        <w:t xml:space="preserve"> </w:t>
      </w:r>
      <w:r>
        <w:t xml:space="preserve">stores and more than</w:t>
      </w:r>
      <w:r>
        <w:t xml:space="preserve"> </w:t>
      </w:r>
      <w:r>
        <w:rPr>
          <w:b/>
          <w:bCs/>
        </w:rPr>
        <w:t xml:space="preserve">725,000</w:t>
      </w:r>
      <w:r>
        <w:t xml:space="preserve"> </w:t>
      </w:r>
      <w:r>
        <w:t xml:space="preserve">local customers.</w:t>
      </w:r>
    </w:p>
    <w:p>
      <w:pPr>
        <w:pStyle w:val="FirstParagraph"/>
      </w:pPr>
      <w:r>
        <w:t xml:space="preserve">Management’s financial case is compelling on paper: approximately</w:t>
      </w:r>
      <w:r>
        <w:t xml:space="preserve"> </w:t>
      </w:r>
      <w:r>
        <w:rPr>
          <w:b/>
          <w:bCs/>
        </w:rPr>
        <w:t xml:space="preserve">$250M</w:t>
      </w:r>
      <w:r>
        <w:t xml:space="preserve"> </w:t>
      </w:r>
      <w:r>
        <w:t xml:space="preserve">of annualized net cost synergies, mid- to high-single-digit EPS accretion in year one, and low- to mid-teens accretion in year two. The deal also provides access to a format that is complementary to Sysco’s delivery-centric model and should deepen exposure to smaller, independent customers.</w:t>
      </w:r>
    </w:p>
    <w:bookmarkStart w:id="15" w:name="what-to-listen-for-on-the-call"/>
    <w:p>
      <w:pPr>
        <w:pStyle w:val="Heading3"/>
      </w:pPr>
      <w:r>
        <w:t xml:space="preserve">What to listen for on the call</w:t>
      </w:r>
    </w:p>
    <w:p>
      <w:pPr>
        <w:pStyle w:val="Compact"/>
        <w:numPr>
          <w:ilvl w:val="0"/>
          <w:numId w:val="1006"/>
        </w:numPr>
      </w:pPr>
      <w:r>
        <w:rPr>
          <w:b/>
          <w:bCs/>
        </w:rPr>
        <w:t xml:space="preserve">Regulatory and closing process.</w:t>
      </w:r>
      <w:r>
        <w:t xml:space="preserve"> </w:t>
      </w:r>
      <w:r>
        <w:t xml:space="preserve">Sysco filed its S-4 registration statement on</w:t>
      </w:r>
      <w:r>
        <w:t xml:space="preserve"> </w:t>
      </w:r>
      <w:r>
        <w:rPr>
          <w:b/>
          <w:bCs/>
        </w:rPr>
        <w:t xml:space="preserve">July 1, 2026</w:t>
      </w:r>
      <w:r>
        <w:t xml:space="preserve">, but it had not yet been declared effective at that time. Management previously expected closing by fiscal 3Q27, subject to approvals.</w:t>
      </w:r>
    </w:p>
    <w:p>
      <w:pPr>
        <w:pStyle w:val="Compact"/>
        <w:numPr>
          <w:ilvl w:val="0"/>
          <w:numId w:val="1006"/>
        </w:numPr>
      </w:pPr>
      <w:r>
        <w:rPr>
          <w:b/>
          <w:bCs/>
        </w:rPr>
        <w:t xml:space="preserve">Restaurant Depot trading.</w:t>
      </w:r>
      <w:r>
        <w:t xml:space="preserve"> </w:t>
      </w:r>
      <w:r>
        <w:t xml:space="preserve">Sysco disclosed approximately</w:t>
      </w:r>
      <w:r>
        <w:t xml:space="preserve"> </w:t>
      </w:r>
      <w:r>
        <w:rPr>
          <w:b/>
          <w:bCs/>
        </w:rPr>
        <w:t xml:space="preserve">4% volume growth</w:t>
      </w:r>
      <w:r>
        <w:t xml:space="preserve"> </w:t>
      </w:r>
      <w:r>
        <w:t xml:space="preserve">in Restaurant Depot’s most recently completed calendar quarter at the time of fiscal 3Q earnings. An updated performance datapoint would be meaningful.</w:t>
      </w:r>
    </w:p>
    <w:p>
      <w:pPr>
        <w:pStyle w:val="Compact"/>
        <w:numPr>
          <w:ilvl w:val="0"/>
          <w:numId w:val="1006"/>
        </w:numPr>
      </w:pPr>
      <w:r>
        <w:rPr>
          <w:b/>
          <w:bCs/>
        </w:rPr>
        <w:t xml:space="preserve">Financing and deleveraging.</w:t>
      </w:r>
      <w:r>
        <w:t xml:space="preserve"> </w:t>
      </w:r>
      <w:r>
        <w:t xml:space="preserve">Sysco expects net leverage to rise to roughly</w:t>
      </w:r>
      <w:r>
        <w:t xml:space="preserve"> </w:t>
      </w:r>
      <w:r>
        <w:rPr>
          <w:b/>
          <w:bCs/>
        </w:rPr>
        <w:t xml:space="preserve">4.5x</w:t>
      </w:r>
      <w:r>
        <w:t xml:space="preserve"> </w:t>
      </w:r>
      <w:r>
        <w:t xml:space="preserve">at close, followed by a reduction to approximately</w:t>
      </w:r>
      <w:r>
        <w:t xml:space="preserve"> </w:t>
      </w:r>
      <w:r>
        <w:rPr>
          <w:b/>
          <w:bCs/>
        </w:rPr>
        <w:t xml:space="preserve">3.5x</w:t>
      </w:r>
      <w:r>
        <w:t xml:space="preserve"> </w:t>
      </w:r>
      <w:r>
        <w:t xml:space="preserve">within 24 months, before returning over time to a</w:t>
      </w:r>
      <w:r>
        <w:t xml:space="preserve"> </w:t>
      </w:r>
      <w:r>
        <w:rPr>
          <w:b/>
          <w:bCs/>
        </w:rPr>
        <w:t xml:space="preserve">2.75x</w:t>
      </w:r>
      <w:r>
        <w:t xml:space="preserve"> </w:t>
      </w:r>
      <w:r>
        <w:t xml:space="preserve">target.</w:t>
      </w:r>
    </w:p>
    <w:p>
      <w:pPr>
        <w:pStyle w:val="Compact"/>
        <w:numPr>
          <w:ilvl w:val="0"/>
          <w:numId w:val="1006"/>
        </w:numPr>
      </w:pPr>
      <w:r>
        <w:rPr>
          <w:b/>
          <w:bCs/>
        </w:rPr>
        <w:t xml:space="preserve">Capital allocation.</w:t>
      </w:r>
      <w:r>
        <w:t xml:space="preserve"> </w:t>
      </w:r>
      <w:r>
        <w:t xml:space="preserve">Sysco suspended share repurchases to preserve cash for the transaction. Investors will want clarity on when buybacks can resume and whether dividend growth remains a priority during deleveraging.</w:t>
      </w:r>
    </w:p>
    <w:p>
      <w:pPr>
        <w:pStyle w:val="Compact"/>
        <w:numPr>
          <w:ilvl w:val="0"/>
          <w:numId w:val="1006"/>
        </w:numPr>
      </w:pPr>
      <w:r>
        <w:rPr>
          <w:b/>
          <w:bCs/>
        </w:rPr>
        <w:t xml:space="preserve">Synergy credibility.</w:t>
      </w:r>
      <w:r>
        <w:t xml:space="preserve"> </w:t>
      </w:r>
      <w:r>
        <w:t xml:space="preserve">The $250M target is primarily purchasing-related, net of public-company costs. Management needs to continue demonstrating that these savings are achievable without disrupting Restaurant Depot’s low-price proposition or operating model.</w:t>
      </w:r>
    </w:p>
    <w:p>
      <w:pPr>
        <w:pStyle w:val="FirstParagraph"/>
      </w:pPr>
      <w:r>
        <w:t xml:space="preserve">The strategic upside is material, but so is the execution burden. Until the transaction closes, Sysco must simultaneously preserve core-business momentum, maintain disciplined capital allocation, navigate the approval process, and persuade investors that the higher leverage is temporary and manageable.</w:t>
      </w:r>
    </w:p>
    <w:p>
      <w:r>
        <w:pict>
          <v:rect style="width:0;height:1.5pt" o:hralign="center" o:hrstd="t" o:hr="t"/>
        </w:pict>
      </w:r>
    </w:p>
    <w:bookmarkEnd w:id="15"/>
    <w:bookmarkEnd w:id="16"/>
    <w:bookmarkStart w:id="19" w:name="bull--bear-framing"/>
    <w:p>
      <w:pPr>
        <w:pStyle w:val="Heading2"/>
      </w:pPr>
      <w:r>
        <w:t xml:space="preserve">Bull / bear framing</w:t>
      </w:r>
    </w:p>
    <w:bookmarkStart w:id="17" w:name="bull-case"/>
    <w:p>
      <w:pPr>
        <w:pStyle w:val="Heading3"/>
      </w:pPr>
      <w:r>
        <w:t xml:space="preserve">Bull case</w:t>
      </w:r>
    </w:p>
    <w:p>
      <w:pPr>
        <w:pStyle w:val="Compact"/>
        <w:numPr>
          <w:ilvl w:val="0"/>
          <w:numId w:val="1007"/>
        </w:numPr>
      </w:pPr>
      <w:r>
        <w:t xml:space="preserve">Local case growth exceeds the 2.5% commitment and confirms share gains despite weak industry traffic.</w:t>
      </w:r>
    </w:p>
    <w:p>
      <w:pPr>
        <w:pStyle w:val="Compact"/>
        <w:numPr>
          <w:ilvl w:val="0"/>
          <w:numId w:val="1007"/>
        </w:numPr>
      </w:pPr>
      <w:r>
        <w:t xml:space="preserve">Gross margin remains strong and operating leverage begins to emerge.</w:t>
      </w:r>
    </w:p>
    <w:p>
      <w:pPr>
        <w:pStyle w:val="Compact"/>
        <w:numPr>
          <w:ilvl w:val="0"/>
          <w:numId w:val="1007"/>
        </w:numPr>
      </w:pPr>
      <w:r>
        <w:t xml:space="preserve">FY26 adjusted EPS lands at or above the high end of guidance.</w:t>
      </w:r>
    </w:p>
    <w:p>
      <w:pPr>
        <w:pStyle w:val="Compact"/>
        <w:numPr>
          <w:ilvl w:val="0"/>
          <w:numId w:val="1007"/>
        </w:numPr>
      </w:pPr>
      <w:r>
        <w:t xml:space="preserve">FY27 commentary implies a cleaner core-growth setup as incentive-comp effects fade.</w:t>
      </w:r>
    </w:p>
    <w:p>
      <w:pPr>
        <w:pStyle w:val="Compact"/>
        <w:numPr>
          <w:ilvl w:val="0"/>
          <w:numId w:val="1007"/>
        </w:numPr>
      </w:pPr>
      <w:r>
        <w:t xml:space="preserve">Restaurant Depot performance, approvals, and financing remain on track.</w:t>
      </w:r>
    </w:p>
    <w:bookmarkEnd w:id="17"/>
    <w:bookmarkStart w:id="18" w:name="bear-case"/>
    <w:p>
      <w:pPr>
        <w:pStyle w:val="Heading3"/>
      </w:pPr>
      <w:r>
        <w:t xml:space="preserve">Bear case</w:t>
      </w:r>
    </w:p>
    <w:p>
      <w:pPr>
        <w:pStyle w:val="Compact"/>
        <w:numPr>
          <w:ilvl w:val="0"/>
          <w:numId w:val="1008"/>
        </w:numPr>
      </w:pPr>
      <w:r>
        <w:t xml:space="preserve">Local growth misses the target or is driven primarily by lower-quality pricing or customer mix.</w:t>
      </w:r>
    </w:p>
    <w:p>
      <w:pPr>
        <w:pStyle w:val="Compact"/>
        <w:numPr>
          <w:ilvl w:val="0"/>
          <w:numId w:val="1008"/>
        </w:numPr>
      </w:pPr>
      <w:r>
        <w:t xml:space="preserve">National restaurant weakness broadens and offsets local share gains.</w:t>
      </w:r>
    </w:p>
    <w:p>
      <w:pPr>
        <w:pStyle w:val="Compact"/>
        <w:numPr>
          <w:ilvl w:val="0"/>
          <w:numId w:val="1008"/>
        </w:numPr>
      </w:pPr>
      <w:r>
        <w:t xml:space="preserve">Gross-margin gains fail to translate into operating-income growth because of higher labor, capacity, technology, and corporate costs.</w:t>
      </w:r>
    </w:p>
    <w:p>
      <w:pPr>
        <w:pStyle w:val="Compact"/>
        <w:numPr>
          <w:ilvl w:val="0"/>
          <w:numId w:val="1008"/>
        </w:numPr>
      </w:pPr>
      <w:r>
        <w:t xml:space="preserve">FY27 guidance is conservative.</w:t>
      </w:r>
    </w:p>
    <w:p>
      <w:pPr>
        <w:pStyle w:val="Compact"/>
        <w:numPr>
          <w:ilvl w:val="0"/>
          <w:numId w:val="1008"/>
        </w:numPr>
      </w:pPr>
      <w:r>
        <w:t xml:space="preserve">Restaurant Depot commentary exposes regulatory delays, weaker trading, higher financing costs, or a slower deleveraging path.</w:t>
      </w:r>
    </w:p>
    <w:p>
      <w:r>
        <w:pict>
          <v:rect style="width:0;height:1.5pt" o:hralign="center" o:hrstd="t" o:hr="t"/>
        </w:pict>
      </w:r>
    </w:p>
    <w:bookmarkEnd w:id="18"/>
    <w:bookmarkEnd w:id="19"/>
    <w:bookmarkStart w:id="21" w:name="investment-conclusion"/>
    <w:p>
      <w:pPr>
        <w:pStyle w:val="Heading2"/>
      </w:pPr>
      <w:r>
        <w:t xml:space="preserve">Investment conclusion</w:t>
      </w:r>
    </w:p>
    <w:p>
      <w:pPr>
        <w:pStyle w:val="FirstParagraph"/>
      </w:pPr>
      <w:r>
        <w:t xml:space="preserve">Sysco’s fiscal 4Q26 report is best viewed as a</w:t>
      </w:r>
      <w:r>
        <w:t xml:space="preserve"> </w:t>
      </w:r>
      <w:r>
        <w:rPr>
          <w:b/>
          <w:bCs/>
        </w:rPr>
        <w:t xml:space="preserve">proof-of-execution quarter</w:t>
      </w:r>
      <w:r>
        <w:t xml:space="preserve">. The company has already framed adjusted EPS near $1.51 and appears positioned to deliver the high end of FY26 guidance. The more consequential issue is whether the quarter substantiates a durable turnaround in the core local business and supports confidence in FY27 earnings growth.</w:t>
      </w:r>
    </w:p>
    <w:p>
      <w:pPr>
        <w:pStyle w:val="BodyText"/>
      </w:pPr>
      <w:r>
        <w:t xml:space="preserve">A clean report would combine</w:t>
      </w:r>
      <w:r>
        <w:t xml:space="preserve"> </w:t>
      </w:r>
      <w:r>
        <w:rPr>
          <w:b/>
          <w:bCs/>
        </w:rPr>
        <w:t xml:space="preserve">≥2.5% local case growth</w:t>
      </w:r>
      <w:r>
        <w:t xml:space="preserve">, continued gross-margin expansion, disciplined expense management, and a confident FY27 setup. Positive Restaurant Depot updates would add to that outcome. Conversely, the stock is likely vulnerable if core volumes soften or if the transaction’s leverage and approval risks become more prominent than its strategic benefits.</w:t>
      </w:r>
    </w:p>
    <w:bookmarkStart w:id="20" w:name="sources-reviewed"/>
    <w:p>
      <w:pPr>
        <w:pStyle w:val="Heading3"/>
      </w:pPr>
      <w:r>
        <w:t xml:space="preserve">Sources reviewed</w:t>
      </w:r>
    </w:p>
    <w:p>
      <w:pPr>
        <w:pStyle w:val="Compact"/>
        <w:numPr>
          <w:ilvl w:val="0"/>
          <w:numId w:val="1009"/>
        </w:numPr>
      </w:pPr>
      <w:r>
        <w:t xml:space="preserve">Sysco fiscal 3Q26 earnings release and conference-call transcript — April 28, 2026</w:t>
      </w:r>
    </w:p>
    <w:p>
      <w:pPr>
        <w:pStyle w:val="Compact"/>
        <w:numPr>
          <w:ilvl w:val="0"/>
          <w:numId w:val="1009"/>
        </w:numPr>
      </w:pPr>
      <w:r>
        <w:t xml:space="preserve">Sysco Restaurant Depot Acquisition Investor Event presentation — May 18, 2026</w:t>
      </w:r>
    </w:p>
    <w:p>
      <w:pPr>
        <w:pStyle w:val="Compact"/>
        <w:numPr>
          <w:ilvl w:val="0"/>
          <w:numId w:val="1009"/>
        </w:numPr>
      </w:pPr>
      <w:r>
        <w:t xml:space="preserve">Sysco Form 8-K regarding the Restaurant Depot transaction S-4 filing — July 1, 2026</w:t>
      </w:r>
    </w:p>
    <w:p>
      <w:pPr>
        <w:pStyle w:val="Compact"/>
        <w:numPr>
          <w:ilvl w:val="0"/>
          <w:numId w:val="1009"/>
        </w:numPr>
      </w:pPr>
      <w:r>
        <w:t xml:space="preserve">Sysco fiscal 4Q25 earnings release — July 29, 2025</w:t>
      </w:r>
    </w:p>
    <w:bookmarkEnd w:id="20"/>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2026-08-04T00:59:52Z</dcterms:created>
  <dcterms:modified xsi:type="dcterms:W3CDTF">2026-08-04T00:59:52Z</dcterms:modified>
</cp:coreProperties>
</file>

<file path=docProps/custom.xml><?xml version="1.0" encoding="utf-8"?>
<Properties xmlns="http://schemas.openxmlformats.org/officeDocument/2006/custom-properties" xmlns:vt="http://schemas.openxmlformats.org/officeDocument/2006/docPropsVTypes"/>
</file>