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pBdr>
          <w:bottom w:val="single" w:sz="4" w:space="1" w:color="FB9120"/>
        </w:pBdr>
      </w:pPr>
      <w:r>
        <w:rPr>
          <w:rFonts w:ascii="Calibri" w:hAnsi="Calibri"/>
          <w:b/>
          <w:color w:val="3B4259"/>
          <w:sz w:val="40"/>
        </w:rPr>
        <w:t>Sysco Corporation (SYY) — Q4 FY2026 Earnings Preview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Company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sz w:val="22"/>
              </w:rPr>
              <w:t>Sysco Corporation (NYSE: SYY)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Reporting Period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sz w:val="22"/>
              </w:rPr>
              <w:t>Q4 FY2026 (Fiscal Quarter Ending June 30, 2026)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Earnings Date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sz w:val="22"/>
              </w:rPr>
              <w:t>August 4, 2026 — Before Market Open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Prepared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sz w:val="22"/>
              </w:rPr>
              <w:t>August 3, 2026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Sector ETF Benchmark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sz w:val="22"/>
              </w:rPr>
              <w:t>XLP (Consumer Staples Select Sector SPDR)</w:t>
            </w:r>
          </w:p>
        </w:tc>
      </w:tr>
    </w:tbl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1. Earnings Preview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The setup into Q4 FY2026 is modestly constructive — consensus is not a high bar (adj. EPS of ~$1.51 in line with management's own guide), and the single biggest swing factor is whether </w:t>
      </w:r>
      <w:r>
        <w:rPr>
          <w:rFonts w:ascii="Calibri" w:hAnsi="Calibri"/>
          <w:b/>
          <w:color w:val="525866"/>
          <w:sz w:val="22"/>
        </w:rPr>
        <w:t>USFS local case volume</w:t>
      </w:r>
      <w:r>
        <w:rPr>
          <w:rFonts w:ascii="Calibri" w:hAnsi="Calibri"/>
          <w:color w:val="525866"/>
          <w:sz w:val="22"/>
        </w:rPr>
        <w:t xml:space="preserve"> can meet or exceed the ≥2.5% commitment management reiterated as recently as the Q3 call, which would mark the strongest two-year stacked growth in years.</w:t>
      </w:r>
    </w:p>
    <w:p>
      <w:r>
        <w:rPr>
          <w:rFonts w:ascii="Calibri" w:hAnsi="Calibri"/>
          <w:color w:val="525866"/>
          <w:sz w:val="22"/>
        </w:rPr>
        <w:t xml:space="preserve">Heading into Q4 FY2026, the bar is essentially management-set: Sysco guided adj. EPS of ~$1.51 and local case volume growth of </w:t>
      </w:r>
      <w:r>
        <w:rPr>
          <w:rFonts w:ascii="Calibri" w:hAnsi="Calibri"/>
          <w:b/>
          <w:color w:val="525866"/>
          <w:sz w:val="22"/>
        </w:rPr>
        <w:t>at least 2.5%</w:t>
      </w:r>
      <w:r>
        <w:rPr>
          <w:rFonts w:ascii="Calibri" w:hAnsi="Calibri"/>
          <w:color w:val="525866"/>
          <w:sz w:val="22"/>
        </w:rPr>
        <w:t xml:space="preserve">, and consensus has converged almost exactly on those figures ($1.51 EPS, 2.65% local case growth per VA), leaving little room for a surprise in either direction on the headline. Management's tone on the Q3 call was notably confident — they provided an intra-quarter update confirming Q4 volume was tracking on plan even with restaurant traffic flat versus Q3, underscoring the </w:t>
      </w:r>
      <w:r>
        <w:rPr>
          <w:rFonts w:ascii="Calibri" w:hAnsi="Calibri"/>
          <w:b/>
          <w:color w:val="525866"/>
          <w:sz w:val="22"/>
        </w:rPr>
        <w:t>self-help narrative</w:t>
      </w:r>
      <w:r>
        <w:rPr>
          <w:rFonts w:ascii="Calibri" w:hAnsi="Calibri"/>
          <w:color w:val="525866"/>
          <w:sz w:val="22"/>
        </w:rPr>
        <w:t xml:space="preserve"> (sales force retention at historical highs, AI360 adoption, Perks 2.0) rather than any macro tailwind. Estimate revisions since the April 28 print have been essentially flat — Q4 adj. EPS consensus moved from $1.513 to $1.512 and revenue from $21.94B to $21.94B — suggesting the street is comfortable with guidance and not pricing in upside. The stock has recovered from its post-Restaurant Depot acquisition shock (down ~$10 from pre-announcement levels in late March) and has rallied ~16% from the April 28 earnings close of $73.37 to ~$85, implying the market has largely re-rated the volume inflection story; at ~18–19x NTM EPS the multiple is not stretched but leaves limited room for a miss. The key wildcard is </w:t>
      </w:r>
      <w:r>
        <w:rPr>
          <w:rFonts w:ascii="Calibri" w:hAnsi="Calibri"/>
          <w:b/>
          <w:color w:val="525866"/>
          <w:sz w:val="22"/>
        </w:rPr>
        <w:t>gross margin</w:t>
      </w:r>
      <w:r>
        <w:rPr>
          <w:rFonts w:ascii="Calibri" w:hAnsi="Calibri"/>
          <w:color w:val="525866"/>
          <w:sz w:val="22"/>
        </w:rPr>
        <w:t>: Q3 delivered 31 bps of YoY expansion to 18.6%, and any further outperformance driven by strategic sourcing carryover and Sysco Brand mix improvement could be the incremental positive that moves the stock on print day.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2. KPIs &amp; Consensus Expectations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Consensus is a low-to-moderate bar — management has effectively pre-set expectations with explicit Q4 guidance. </w:t>
      </w:r>
      <w:r>
        <w:rPr>
          <w:rFonts w:ascii="Calibri" w:hAnsi="Calibri"/>
          <w:b/>
          <w:color w:val="525866"/>
          <w:sz w:val="22"/>
        </w:rPr>
        <w:t>USFS local case volume growth</w:t>
      </w:r>
      <w:r>
        <w:rPr>
          <w:rFonts w:ascii="Calibri" w:hAnsi="Calibri"/>
          <w:color w:val="525866"/>
          <w:sz w:val="22"/>
        </w:rPr>
        <w:t xml:space="preserve"> is the bigger swing factor; gross margin is the secondary variable that could drive a positive surprise if strategic sourcing tailwinds persist.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Table 1 — Current Quarter Snapshot (Q4 FY2026)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KPI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Last Quarter Actual (Q3 FY2026)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Prior Year Period (Q4 FY2025)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Q4 FY2026 Consensus Estimate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YoY Change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Management Guidance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 vs. Guidance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Revenue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$20.52B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$21.14B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$21.94B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+3.8% YoY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~$84–$85B FY (implies ~$21.9B Q4)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~In line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Adj. EPS (Diluted, Operating)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$0.94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$1.48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$1.51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+2.0% YoY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~$1.51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~0% (exactly at guide)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Gross Margin (%)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18.58%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18.86%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18.90%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+4 bps YoY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No specific Q4 guide; FY ~18.55%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~+35 bps vs. FY guide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Adj. Operating Income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$768M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$1,095M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$1,144M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+4.5% YoY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Implied by EPS guide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~In line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USFS Local Case Volume Growth (%)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+3.3%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-1.4%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+2.65%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N/M (prior yr. negative)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≥2.5%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+6% above floor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USFS Local Cases — Organic Growth (%)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+2.93%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-1.4%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+2.05%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N/M (prior yr. negative)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~2.1% organic (of ≥2.5% total)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~In line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Adj. EBITDA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$970M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$1,286M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$1,354M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+5.3% YoY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No specific Q4 guide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Free Cash Flow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$691M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$819M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$1,359M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+65.9% YoY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No specific Q4 guide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</w:tbl>
    <w:p>
      <w:r>
        <w:rPr>
          <w:rFonts w:ascii="Calibri" w:hAnsi="Calibri"/>
          <w:i/>
          <w:color w:val="525866"/>
          <w:sz w:val="22"/>
        </w:rPr>
        <w:t>Source: Visible Alpha consensus and actuals data. All figures as of August 3, 2026. Q4 FY2026 = VA period 4QFY-2026 (quarter ending June 30, 2026). Q3 FY2026 actual = VA period 3QFY-2026 (quarter ending March 31, 2026). Q4 FY2025 actual = VA period 4QFY-2025 (quarter ending June 30, 2025).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Table 2 — Beat/Miss History (Last 8 Quarters)</w:t>
      </w:r>
    </w:p>
    <w:p>
      <w:r>
        <w:rPr>
          <w:rFonts w:ascii="Calibri" w:hAnsi="Calibri"/>
          <w:b/>
          <w:color w:val="525866"/>
          <w:sz w:val="22"/>
        </w:rPr>
        <w:t>Top 2 KPIs: Adj. EPS (Diluted, Operating) and USFS Local Case Volume Growth (%)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Quarter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KPI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Reported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Surprise %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Result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Q3 FY2026 (Mar 2026)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Adj. EPS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$0.94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$0.945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-0.5%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MISS (slight)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Q3 FY2026 (Mar 2026)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Local Case Vol. Growth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+3.3%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+3.13%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+5.4%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Q2 FY2026 (Dec 2025)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Adj. EPS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$0.99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$0.974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+1.6%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Q2 FY2026 (Dec 2025)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Local Case Vol. Growth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+1.2%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+0.86%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+39.5%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Q1 FY2026 (Sep 2025)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Adj. EPS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$1.15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$1.122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+2.5%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Q1 FY2026 (Sep 2025)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Local Case Vol. Growth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-0.2%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-0.25%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+20.0%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BEAT (less negative)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Q4 FY2025 (Jun 2025)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Adj. EPS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$1.48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$1.391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+6.4%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Q4 FY2025 (Jun 2025)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Local Case Vol. Growth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-1.4%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-2.0%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+30.0%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BEAT (less negative)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Q3 FY2025 (Mar 2025)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Adj. EPS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$0.96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$1.019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-5.8%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MISS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Q3 FY2025 (Mar 2025)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Local Case Vol. Growth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-3.4%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-2.0%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-70.0%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MISS (worse than expected)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Q2 FY2025 (Dec 2024)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Adj. EPS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$0.93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$0.920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+1.1%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Q2 FY2025 (Dec 2024)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Local Case Vol. Growth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-0.9%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+0.3%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N/M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MISS (negative vs. positive est.)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Q1 FY2025 (Sep 2024)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Adj. EPS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$1.09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$1.125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-3.1%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MISS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Q1 FY2025 (Sep 2024)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Local Case Vol. Growth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+0.2%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+0.4%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-50.0%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MISS (below est.)</w:t>
            </w:r>
          </w:p>
        </w:tc>
      </w:tr>
    </w:tbl>
    <w:p>
      <w:r>
        <w:rPr>
          <w:rFonts w:ascii="Calibri" w:hAnsi="Calibri"/>
          <w:b/>
          <w:color w:val="525866"/>
          <w:sz w:val="22"/>
        </w:rPr>
        <w:t xml:space="preserve">Pattern: </w:t>
      </w:r>
      <w:r>
        <w:rPr>
          <w:rFonts w:ascii="Calibri" w:hAnsi="Calibri"/>
          <w:color w:val="525866"/>
          <w:sz w:val="22"/>
        </w:rPr>
        <w:t>SYY has beaten local case volume expectations in 5 of the last 8 quarters and beaten adj. EPS in 5 of 8, with the two notable misses (Q3 FY2025 and Q1 FY2025) concentrated in the period of peak sales force disruption — a headwind that management has since resolved. The recent trend (last 3 quarters) shows consistent volume beats, supporting the self-help narrative heading into Q4.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3. Guidance &amp; Commentary Evolution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Guidance has been unchanged since the April 28 Q3 earnings call — no post-earnings 8-K or conference update has altered the numbers. Management's tone has, however, </w:t>
      </w:r>
      <w:r>
        <w:rPr>
          <w:rFonts w:ascii="Calibri" w:hAnsi="Calibri"/>
          <w:b/>
          <w:color w:val="525866"/>
          <w:sz w:val="22"/>
        </w:rPr>
        <w:t>strengthened</w:t>
      </w:r>
      <w:r>
        <w:rPr>
          <w:rFonts w:ascii="Calibri" w:hAnsi="Calibri"/>
          <w:color w:val="525866"/>
          <w:sz w:val="22"/>
        </w:rPr>
        <w:t>: the May 18 investor presentation on the Restaurant Depot deal reinforced confidence in the combined company's long-term FCF and EBITDA profile, and the intra-quarter volume tracking commentary on the Q3 call reduced execution risk around the Q4 volume commitment.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Metric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Initial Guidance (Q3 FY2026 Earnings Call, Apr 28, 2026)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Revised Guidance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Current Consensus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Note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Q4 Adj. EPS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~$1.51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$1.51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Unchanged; consensus locked exactly on guide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Q4 USFS Local Case Vol. Growth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≥2.5%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+2.65%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Unchanged; consensus slightly above floor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FY2026 Adj. EPS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High end of $4.50–$4.60 (effectively $4.60)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$4.58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Unchanged; consensus ~$0.02 below high end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FY2026 Revenue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~$84–$85B (+3% to +5% YoY)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$84.4B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Unchanged; consensus at low end of range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FY2026 Dividends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~$1B (~6% YoY increase per share)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~$1B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Unchanged; dividend growth commitment maintained through deleveraging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Share Repurchase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Suspended (~$800M planned buybacks cancelled)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Suspended to preserve cash for Restaurant Depot acquisition; ~$0.10 EPS headwind annualized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Run-Rate Cost Savings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$60M run-rate savings beginning Q4 FY2026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Included in Q4 guide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New initiative; offsets buyback suspension impact; carryover into 3 quarters of FY2027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Restaurant Depot Acquisition Close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~Q3 FY2027; DOJ second request received (expected)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May 18 investor presentation reinforced deal rationale; ~20% revenue uplift, ~45% EBITDA uplift, ~55% FCF uplift vs. standalone Sysco</w:t>
            </w:r>
          </w:p>
        </w:tc>
      </w:tr>
    </w:tbl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4. Guidance vs. Estimate Revision Tracker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Estimates have been essentially frozen since the Q3 print — Q4 adj. EPS consensus moved by less than $0.002 and revenue by less than $0.2M since the April 28 baseline, confirming the street has fully digested guidance with no incremental revision pressure. The </w:t>
      </w:r>
      <w:r>
        <w:rPr>
          <w:rFonts w:ascii="Calibri" w:hAnsi="Calibri"/>
          <w:b/>
          <w:color w:val="525866"/>
          <w:sz w:val="22"/>
        </w:rPr>
        <w:t>FY2027 estimates are the more interesting watch</w:t>
      </w:r>
      <w:r>
        <w:rPr>
          <w:rFonts w:ascii="Calibri" w:hAnsi="Calibri"/>
          <w:color w:val="525866"/>
          <w:sz w:val="22"/>
        </w:rPr>
        <w:t>: they have barely moved post-Q3, suggesting the market is waiting for the Restaurant Depot deal close and FY2027 guidance (expected at the next earnings call) before making a directional call.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KPI (Period)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Estimate ~5 Days Post Q3 Earnings (as of May 3, 2026)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Current Consensus (Aug 3, 2026)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Estimate Δ (%)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Initial Guidance (Q3 Call, Apr 28)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Current Guidance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Guidance Δ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 vs. Guidance (%)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Adj. EPS — Q4 FY2026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$1.513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$1.512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-0.1%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~$1.51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+0.1% above guide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Revenue — Q4 FY2026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$21.942B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$21.944B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+0.0%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~$84–$85B FY (implies ~$21.9B Q4)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~In line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USFS Local Case Vol. Growth — Q4 FY2026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+2.62%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+2.65%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+1.1%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≥2.5%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+6% above floor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Adj. EPS — FY2026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$4.591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$4.584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-0.2%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High end of $4.50–$4.60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~$0.02 below high end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Revenue — FY2026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$84.371B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$84.365B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-0.0%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~$84–$85B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Low end of range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Adj. EPS — FY2027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$4.948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$4.929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-0.4%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 FY2027 guidance yet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Revenue — FY2027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$88.573B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$88.465B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-0.1%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 FY2027 guidance yet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</w:tbl>
    <w:p>
      <w:r>
        <w:rPr>
          <w:rFonts w:ascii="Calibri" w:hAnsi="Calibri"/>
          <w:i/>
          <w:color w:val="525866"/>
          <w:sz w:val="22"/>
        </w:rPr>
        <w:t>Source: Visible Alpha consensus data. Baseline as of May 3, 2026 (5 trading days post Q3 FY2026 earnings on April 28, 2026). Current as of August 3, 2026. Note: FY2027 estimates do not yet incorporate the Restaurant Depot acquisition (expected to close ~Q3 FY2027); post-close guidance at the FY2027 guidance call will be the key catalyst for FY2027 estimate revisions.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5. Stock Performance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SYY has rallied ~16% since the Q3 earnings close of $73.37 (April 28) to ~$85, driven almost entirely by </w:t>
      </w:r>
      <w:r>
        <w:rPr>
          <w:rFonts w:ascii="Calibri" w:hAnsi="Calibri"/>
          <w:b/>
          <w:color w:val="525866"/>
          <w:sz w:val="22"/>
        </w:rPr>
        <w:t>multiple re-rating</w:t>
      </w:r>
      <w:r>
        <w:rPr>
          <w:rFonts w:ascii="Calibri" w:hAnsi="Calibri"/>
          <w:color w:val="525866"/>
          <w:sz w:val="22"/>
        </w:rPr>
        <w:t xml:space="preserve"> as the market digested the volume inflection story — not estimate revisions (which were flat). The stock has significantly outperformed XLP (+2.4%) but lagged the S&amp;P 500 (+6.4%) over the same period, suggesting the recovery is company-specific rather than sector-driven.</w:t>
      </w:r>
    </w:p>
    <w:p>
      <w:r>
        <w:drawing>
          <wp:inline xmlns:a="http://schemas.openxmlformats.org/drawingml/2006/main" xmlns:pic="http://schemas.openxmlformats.org/drawingml/2006/picture">
            <wp:extent cx="4572000" cy="326571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26571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666666"/>
          <w:sz w:val="18"/>
        </w:rPr>
        <w:t>SYY vs. XLP vs. S&amp;P 500 — Indexed to 100 at April 28, 2026 (Q3 FY2026 Earnings Date). Source: Yahoo Finance.</w:t>
      </w:r>
    </w:p>
    <w:p>
      <w:r>
        <w:rPr>
          <w:rFonts w:ascii="Calibri" w:hAnsi="Calibri"/>
          <w:color w:val="525866"/>
          <w:sz w:val="22"/>
        </w:rPr>
        <w:t>Key Events Since Q3 Earnings (April 28, 2026):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April 28:</w:t>
      </w:r>
      <w:r>
        <w:rPr>
          <w:rFonts w:ascii="Calibri" w:hAnsi="Calibri"/>
          <w:color w:val="525866"/>
          <w:sz w:val="22"/>
        </w:rPr>
        <w:t xml:space="preserve"> Q3 FY2026 earnings — stock fell from $75.36 (Apr 27 close) to $73.37 on earnings day, as the Restaurant Depot acquisition announcement (late March) had already reset the stock lower; the Q3 print itself was in-line on EPS with a volume beat.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May 18:</w:t>
      </w:r>
      <w:r>
        <w:rPr>
          <w:rFonts w:ascii="Calibri" w:hAnsi="Calibri"/>
          <w:color w:val="525866"/>
          <w:sz w:val="22"/>
        </w:rPr>
        <w:t xml:space="preserve"> Sysco filed an 8-K and investor presentation providing detailed Restaurant Depot financial profile — stock rallied from $73.52 to $75.19 the following day as investors digested the deal's EBITDA and FCF accretion profile (~45% and ~55% uplift respectively).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Late May – June:</w:t>
      </w:r>
      <w:r>
        <w:rPr>
          <w:rFonts w:ascii="Calibri" w:hAnsi="Calibri"/>
          <w:color w:val="525866"/>
          <w:sz w:val="22"/>
        </w:rPr>
        <w:t xml:space="preserve"> Steady re-rating as the volume inflection narrative gained credibility; stock moved from ~$75 to ~$83 through June, outperforming XLP which was roughly flat over the same period.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July 7:</w:t>
      </w:r>
      <w:r>
        <w:rPr>
          <w:rFonts w:ascii="Calibri" w:hAnsi="Calibri"/>
          <w:color w:val="525866"/>
          <w:sz w:val="22"/>
        </w:rPr>
        <w:t xml:space="preserve"> Melius Research downgraded SYY to Sell — stock pulled back from ~$84 to ~$82 over the following week.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July 16:</w:t>
      </w:r>
      <w:r>
        <w:rPr>
          <w:rFonts w:ascii="Calibri" w:hAnsi="Calibri"/>
          <w:color w:val="525866"/>
          <w:sz w:val="22"/>
        </w:rPr>
        <w:t xml:space="preserve"> Morgan Stanley raised price target from $84 to $88 (Equal Weight) — stock recovered to ~$82.25.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July 28–Aug 1:</w:t>
      </w:r>
      <w:r>
        <w:rPr>
          <w:rFonts w:ascii="Calibri" w:hAnsi="Calibri"/>
          <w:color w:val="525866"/>
          <w:sz w:val="22"/>
        </w:rPr>
        <w:t xml:space="preserve"> Stock pushed to ~$85 range heading into earnings, with the market pricing in a clean Q4 print consistent with guidance.</w:t>
      </w:r>
    </w:p>
    <w:p>
      <w:r>
        <w:rPr>
          <w:rFonts w:ascii="Calibri" w:hAnsi="Calibri"/>
          <w:b/>
          <w:color w:val="525866"/>
          <w:sz w:val="22"/>
        </w:rPr>
        <w:t xml:space="preserve">Sector ETF: </w:t>
      </w:r>
      <w:r>
        <w:rPr>
          <w:rFonts w:ascii="Calibri" w:hAnsi="Calibri"/>
          <w:color w:val="525866"/>
          <w:sz w:val="22"/>
        </w:rPr>
        <w:t>XLP (Consumer Staples Select Sector SPDR) was used as the benchmark. SYY is classified as a Consumer Staples distributor and XLP is the most appropriate sub-sector proxy for a large-cap food distribution company.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6. Material News &amp; Developments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The most important development since Q3 earnings is the </w:t>
      </w:r>
      <w:r>
        <w:rPr>
          <w:rFonts w:ascii="Calibri" w:hAnsi="Calibri"/>
          <w:b/>
          <w:color w:val="525866"/>
          <w:sz w:val="22"/>
        </w:rPr>
        <w:t>May 18 Restaurant Depot investor presentation</w:t>
      </w:r>
      <w:r>
        <w:rPr>
          <w:rFonts w:ascii="Calibri" w:hAnsi="Calibri"/>
          <w:color w:val="525866"/>
          <w:sz w:val="22"/>
        </w:rPr>
        <w:t>, which provided the first detailed financial profile of the deal and materially strengthened the bull case for the combined company's long-term FCF and EBITDA. The DOJ second request is the key overhang, but management has characterized it as expected and consistent with the ~1-year timeline to close.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July 14, 2026 — Earnings Date Announcement:</w:t>
      </w:r>
      <w:r>
        <w:rPr>
          <w:rFonts w:ascii="Calibri" w:hAnsi="Calibri"/>
          <w:color w:val="525866"/>
          <w:sz w:val="22"/>
        </w:rPr>
        <w:t xml:space="preserve"> Sysco confirmed Q4 FY2026 results will be released August 4, 2026 (before market open) with a 10 a.m. ET conference call. Implication: confirms the reporting timeline; no pre-announcement or guidance update was included.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July 7, 2026 — Melius Research Downgrade to Sell:</w:t>
      </w:r>
      <w:r>
        <w:rPr>
          <w:rFonts w:ascii="Calibri" w:hAnsi="Calibri"/>
          <w:color w:val="525866"/>
          <w:sz w:val="22"/>
        </w:rPr>
        <w:t xml:space="preserve"> Melius cut SYY from Hold to Sell, citing the stock's recovery as having priced in the volume inflection story. Implication: adds a modest sentiment headwind into the print; the stock pulled back ~2% on the day but recovered within a week.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July 16, 2026 — Morgan Stanley PT Raise to $88:</w:t>
      </w:r>
      <w:r>
        <w:rPr>
          <w:rFonts w:ascii="Calibri" w:hAnsi="Calibri"/>
          <w:color w:val="525866"/>
          <w:sz w:val="22"/>
        </w:rPr>
        <w:t xml:space="preserve"> Morgan Stanley raised its price target from $84 to $88 while maintaining Equal Weight. Implication: incremental positive; suggests the sell-side is gradually re-rating the stock higher as the volume recovery gains credibility.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July 1, 2026 — Russell 1000 Index Exit:</w:t>
      </w:r>
      <w:r>
        <w:rPr>
          <w:rFonts w:ascii="Calibri" w:hAnsi="Calibri"/>
          <w:color w:val="525866"/>
          <w:sz w:val="22"/>
        </w:rPr>
        <w:t xml:space="preserve"> SYY faced Russell 1000 index removal following the annual reconstitution. Implication: created a modest technical headwind from passive selling, but the stock rallied ~5.4% around the event as margin gains offset the index removal impact.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July 1, 2026 — Guest Supply Asia Licensing Agreement (HAAN):</w:t>
      </w:r>
      <w:r>
        <w:rPr>
          <w:rFonts w:ascii="Calibri" w:hAnsi="Calibri"/>
          <w:color w:val="525866"/>
          <w:sz w:val="22"/>
        </w:rPr>
        <w:t xml:space="preserve"> Sysco's Guest Supply subsidiary signed a licensing agreement with HAAN for hotel personal care products across Asia Pacific. Implication: minor; highlights the international segment's continued expansion into adjacent hospitality categories.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June 24, 2026 — Guest Supply Asia Licensing Agreement (RODA):</w:t>
      </w:r>
      <w:r>
        <w:rPr>
          <w:rFonts w:ascii="Calibri" w:hAnsi="Calibri"/>
          <w:color w:val="525866"/>
          <w:sz w:val="22"/>
        </w:rPr>
        <w:t xml:space="preserve"> A second Asia-Pacific licensing agreement for hotel skincare and personal care products. Implication: minor; consistent with the international growth narrative.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July 1, 2026 — S-4 Filing for Restaurant Depot Merger-Related Share Issuance:</w:t>
      </w:r>
      <w:r>
        <w:rPr>
          <w:rFonts w:ascii="Calibri" w:hAnsi="Calibri"/>
          <w:color w:val="525866"/>
          <w:sz w:val="22"/>
        </w:rPr>
        <w:t xml:space="preserve"> Sysco's unit filed an S-4 related to the Jetro Restaurant Depot acquisition. Implication: deal process is progressing; the S-4 filing is a standard step in the regulatory approval process.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May 18, 2026 — Restaurant Depot Investor Presentation (8-K):</w:t>
      </w:r>
      <w:r>
        <w:rPr>
          <w:rFonts w:ascii="Calibri" w:hAnsi="Calibri"/>
          <w:color w:val="525866"/>
          <w:sz w:val="22"/>
        </w:rPr>
        <w:t xml:space="preserve"> Sysco provided the first detailed financial profile of the Jetro Restaurant Depot acquisition, including: ~20% revenue uplift, ~45% EBITDA uplift, ~55% FCF uplift vs. standalone Sysco; $250M annualized net cost synergies; mid-to-high single-digit Year 1 adj. EPS accretion; low-to-mid-teens Year 2 adj. EPS accretion; 125+ net new store locations over two decades; and a deleveraging path from ~4.5x at close to ~3.5x within 24 months. Implication: most important post-Q3 development; materially strengthened the long-term bull case and helped drive the stock's recovery from the ~$72–$73 post-announcement lows.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April 28, 2026 — Q3 FY2026 Earnings (Baseline):</w:t>
      </w:r>
      <w:r>
        <w:rPr>
          <w:rFonts w:ascii="Calibri" w:hAnsi="Calibri"/>
          <w:color w:val="525866"/>
          <w:sz w:val="22"/>
        </w:rPr>
        <w:t xml:space="preserve"> Adj. EPS of $0.94 (in-line); USFS local case volume +3.3% (beat vs. +3.13% consensus); gross margin +31 bps YoY to 18.6%; FY2026 adj. EPS guidance reiterated at high end of $4.50–$4.60; Q4 local volume guidance of ≥2.5%; $60M run-rate cost savings initiative announced; Restaurant Depot deal details disclosed in depth for the first time. Implication: the foundational data point for the current quarter setup.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7c. Performance Food Group (PFGC) — Q3 FY2026 Earnings (May 6, 2026)</w:t>
      </w:r>
    </w:p>
    <w:p>
      <w:r>
        <w:rPr>
          <w:rFonts w:ascii="Calibri" w:hAnsi="Calibri"/>
          <w:b/>
          <w:color w:val="525866"/>
          <w:sz w:val="22"/>
        </w:rPr>
        <w:t xml:space="preserve">Reporting Period: </w:t>
      </w:r>
      <w:r>
        <w:rPr>
          <w:rFonts w:ascii="Calibri" w:hAnsi="Calibri"/>
          <w:color w:val="525866"/>
          <w:sz w:val="22"/>
        </w:rPr>
        <w:t>Quarter ended March 29, 2026 (PFGC's fiscal Q3 2026 — calendar Q1 2026). This is forward-looking commentary made after SYY's Q3 earnings, with PFGC providing explicit Q4 and FY2027 outlook that is relevant to SYY's current quarter environment.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Theme</w:t>
            </w:r>
          </w:p>
        </w:tc>
        <w:tc>
          <w:tcPr>
            <w:tcW w:type="dxa" w:w="28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PFGC Commentary</w:t>
            </w:r>
          </w:p>
        </w:tc>
        <w:tc>
          <w:tcPr>
            <w:tcW w:type="dxa" w:w="28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SYY Read-Through</w:t>
            </w:r>
          </w:p>
        </w:tc>
      </w:tr>
      <w:tr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Independent Restaurant Volume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Independent cases +6.5% in Q3, accelerating from Q2 and exceeding the 6% benchmark. Net new account growth ~5.4%. 'Independent restaurant hold up exceptionally well through foot traffic pressure.' West region fastest-growing by a 'fair amount.'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b/>
                <w:sz w:val="22"/>
              </w:rPr>
              <w:t>Positive.</w:t>
            </w:r>
            <w:r>
              <w:rPr>
                <w:rFonts w:ascii="Calibri" w:hAnsi="Calibri"/>
                <w:sz w:val="22"/>
              </w:rPr>
              <w:t xml:space="preserve"> PFGC's independent case acceleration to +6.5% in the same calendar quarter (Q1 2026) that preceded SYY's Q4 FY2026 confirms the industry volume recovery is real. SYY's ≥2.5% local case target looks conservative relative to PFGC's performance.</w:t>
            </w:r>
          </w:p>
        </w:tc>
      </w:tr>
      <w:tr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Restaurant Traffic / Macro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'Consistent low single-digit foot traffic declines according to Black Box.' Chains 'seen a little downdraft.' Independent restaurants outperforming chains. Consumer 'very resilient across convenience, across foodservice.'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b/>
                <w:sz w:val="22"/>
              </w:rPr>
              <w:t>Neutral.</w:t>
            </w:r>
            <w:r>
              <w:rPr>
                <w:rFonts w:ascii="Calibri" w:hAnsi="Calibri"/>
                <w:sz w:val="22"/>
              </w:rPr>
              <w:t xml:space="preserve"> Consistent with SYY's own commentary — soft macro but resilient independent restaurant demand. SYY's non-commercial (healthcare, education, hospitality) exposure provides additional insulation.</w:t>
            </w:r>
          </w:p>
        </w:tc>
      </w:tr>
      <w:tr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Food Inflation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Foodservice inflation +1.5% in Q3, slightly below recent trends. Deflation in cheese, poultry, eggs; offset by beef inflation. Inflation started below 1% in January, finished March at 2%. Expects 'low to mid-single-digit range for remainder of FY2026.'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b/>
                <w:sz w:val="22"/>
              </w:rPr>
              <w:t>Neutral to positive.</w:t>
            </w:r>
            <w:r>
              <w:rPr>
                <w:rFonts w:ascii="Calibri" w:hAnsi="Calibri"/>
                <w:sz w:val="22"/>
              </w:rPr>
              <w:t xml:space="preserve"> Low-single-digit inflation is consistent with SYY's ~2% inflation contribution assumption. The trajectory from &lt;1% in January to 2% in March suggests Q4 (April–June) inflation may be in the 2–3% range — a mild tailwind for SYY's revenue.</w:t>
            </w:r>
          </w:p>
        </w:tc>
      </w:tr>
      <w:tr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Gross Profit per Case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Total company gross profit +6.4% in Q3; gross profit per case +$0.20 YoY. Driven by 'strong mix, procurement initiatives, and brand strategy execution.' Record brand penetration at 54% in legacy Foodservice.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b/>
                <w:sz w:val="22"/>
              </w:rPr>
              <w:t>Positive for SYY gross margin.</w:t>
            </w:r>
            <w:r>
              <w:rPr>
                <w:rFonts w:ascii="Calibri" w:hAnsi="Calibri"/>
                <w:sz w:val="22"/>
              </w:rPr>
              <w:t xml:space="preserve"> Gross profit per case expansion and record private label penetration at PFGC mirrors SYY's own Sysco Brand penetration strategy. Supports the view that Q4 gross margin expansion is achievable.</w:t>
            </w:r>
          </w:p>
        </w:tc>
      </w:tr>
      <w:tr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Fuel Cost Headwind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'Some pressure from fuel in Q3; expect some of that pressure in Q4 as well.' Gross fuel impact 7.3% for one month in Q3. Fuel surcharges mitigate 'a lot of that impact.' 'Some headwind in Q4, but it's not material.'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b/>
                <w:sz w:val="22"/>
              </w:rPr>
              <w:t>Mild negative.</w:t>
            </w:r>
            <w:r>
              <w:rPr>
                <w:rFonts w:ascii="Calibri" w:hAnsi="Calibri"/>
                <w:sz w:val="22"/>
              </w:rPr>
              <w:t xml:space="preserve"> Fuel cost pressure is a shared industry headwind for SYY's Q4 operating expenses. However, SYY's $60M run-rate cost savings initiative (beginning Q4) provides a meaningful offset, and management has already incorporated fuel assumptions into the $1.51 EPS guide.</w:t>
            </w:r>
          </w:p>
        </w:tc>
      </w:tr>
      <w:tr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Q4 and FY2027 Outlook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sz w:val="22"/>
              </w:rPr>
              <w:t>'Building momentum expected to continue through Q4 and into FY2027.' FY2026 guidance tightened to $67.7–$68B revenue and $1.9–$1.93B adj. EBITDA. FY2028 targets: $73–$75B revenue, $2.3–$2.5B adj. EBITDA. 'Nice acceleration in sales and profit growth' expected in FY2027.</w:t>
            </w:r>
          </w:p>
        </w:tc>
        <w:tc>
          <w:tcPr>
            <w:tcW w:type="dxa" w:w="2880"/>
          </w:tcPr>
          <w:p>
            <w:r>
              <w:rPr>
                <w:rFonts w:ascii="Calibri" w:hAnsi="Calibri"/>
                <w:b/>
                <w:sz w:val="22"/>
              </w:rPr>
              <w:t>Positive for SYY's FY2027 setup.</w:t>
            </w:r>
            <w:r>
              <w:rPr>
                <w:rFonts w:ascii="Calibri" w:hAnsi="Calibri"/>
                <w:sz w:val="22"/>
              </w:rPr>
              <w:t xml:space="preserve"> PFGC's confidence in sustained momentum into Q4 and FY2027 is a positive read-through for SYY's own Q4 delivery and the broader industry trajectory heading into SYY's FY2027 guidance call.</w:t>
            </w:r>
          </w:p>
        </w:tc>
      </w:tr>
    </w:tbl>
    <w:p>
      <w:pPr>
        <w:pStyle w:val="Heading3"/>
      </w:pPr>
      <w:r>
        <w:rPr>
          <w:rFonts w:ascii="Calibri" w:hAnsi="Calibri"/>
          <w:b/>
          <w:color w:val="3B4259"/>
          <w:sz w:val="24"/>
        </w:rPr>
        <w:t>Peer Read-Through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Peer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Report Date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Calendar Period Covered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Key Signal for SYY Q4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Net Read-Through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CHEF (Chefs' Warehouse)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July 29, 2026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Apr–Jun 2026 (directly overlaps SYY Q4)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+12.9% revenue; +6% specialty case growth; 'Goldilocks' demand; double-digit growth into July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Positive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USFD (US Foods)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May 7, 2026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Jan–Mar 2026 (quarter before SYY Q4); forward guidance covers SYY Q4 period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+4.4% organic independent case growth (strongest in 2+ years); April momentum intact; fuel/macro caution for Q2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Positive (with mild fuel caveat)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PFGC (Performance Food Group)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May 6, 2026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Jan–Mar 2026 (quarter before SYY Q4); Q4 and FY2027 forward guidance covers SYY Q4 period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+6.5% independent case growth; 'building momentum' into Q4; fuel headwind manageable; FY2027 acceleration expected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Positive</w:t>
            </w:r>
          </w:p>
        </w:tc>
      </w:tr>
    </w:tbl>
    <w:p>
      <w:r>
        <w:rPr>
          <w:rFonts w:ascii="Calibri" w:hAnsi="Calibri"/>
          <w:b/>
          <w:color w:val="525866"/>
          <w:sz w:val="22"/>
        </w:rPr>
        <w:t xml:space="preserve">Overall Peer Read-Through: </w:t>
      </w:r>
      <w:r>
        <w:rPr>
          <w:rFonts w:ascii="Calibri" w:hAnsi="Calibri"/>
          <w:color w:val="525866"/>
          <w:sz w:val="22"/>
        </w:rPr>
        <w:t>All three peers report a constructive demand environment for independent restaurants during or immediately preceding SYY's Q4 FY2026 period. The common themes — independent restaurant outperformance vs. chains, gross profit per case expansion, and technology-driven productivity gains — are directly aligned with SYY's own Q4 narrative. The only shared headwind is fuel costs, which SYY has already incorporated into its $1.51 EPS guide and partially offset with the $60M cost savings initiative.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8. Insider Transaction Activity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>One notable open-market purchase stands out — Director John M. Hinshaw bought ~$1M in SYY shares on May 26, 2026, at a time when the stock was trading near its post-Restaurant Depot announcement lows (~$75). This is a meaningful discretionary buy signal from a board member, suggesting insider confidence in the recovery thesis at depressed prices.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Name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Title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Transaction Type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Shares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Approx. Value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Date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Note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John M. Hinshaw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Director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Open Market Buy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13,304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~$998,000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May 26,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Discretionary purchase (no 10b5-1 plan); stock was trading ~$75, near post-Restaurant Depot announcement lows; total holdings after transaction: 40,200 shares. Filed May 27, 2026.</w:t>
            </w:r>
          </w:p>
        </w:tc>
      </w:tr>
    </w:tbl>
    <w:p>
      <w:r>
        <w:rPr>
          <w:rFonts w:ascii="Calibri" w:hAnsi="Calibri"/>
          <w:i/>
          <w:color w:val="525866"/>
          <w:sz w:val="22"/>
        </w:rPr>
        <w:t>Source: SEC Form 4 filing, filed May 27, 2026. Transaction code P (open-market purchase). Direct ownership. No 10b5-1 plan indicated.</w:t>
      </w:r>
    </w:p>
    <w:p>
      <w:r>
        <w:rPr>
          <w:rFonts w:ascii="Calibri" w:hAnsi="Calibri"/>
          <w:b/>
          <w:color w:val="525866"/>
          <w:sz w:val="22"/>
        </w:rPr>
        <w:t xml:space="preserve">Context: </w:t>
      </w:r>
      <w:r>
        <w:rPr>
          <w:rFonts w:ascii="Calibri" w:hAnsi="Calibri"/>
          <w:color w:val="525866"/>
          <w:sz w:val="22"/>
        </w:rPr>
        <w:t>No other open-market buys or sells were filed by SYY insiders in the 60-day window prior to the August 4 earnings date (June 4 – August 3, 2026) based on available Form 4 data. The Hinshaw purchase (May 26) falls just outside the 60-day window but is included given its materiality (~$1M discretionary buy) and its proximity to the current reporting period. The absence of insider selling in the pre-earnings window is a mild positive signal.</w:t>
      </w:r>
    </w:p>
    <w:sectPr w:rsidR="00FC693F" w:rsidRPr="0006063C" w:rsidSect="00034616">
      <w:headerReference w:type="default" r:id="rId10"/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tabs>
        <w:tab w:pos="8640" w:val="right"/>
      </w:tabs>
      <w:spacing w:before="0" w:after="0" w:line="240" w:lineRule="auto"/>
      <w:jc w:val="left"/>
    </w:pPr>
    <w:r>
      <w:rPr>
        <w:rFonts w:ascii="Calibri" w:hAnsi="Calibri"/>
        <w:i/>
        <w:color w:val="525866"/>
        <w:sz w:val="20"/>
      </w:rPr>
      <w:t>We do the work, you make the call</w:t>
    </w:r>
    <w:r>
      <w:tab/>
    </w:r>
    <w:r>
      <w:rPr>
        <w:rFonts w:ascii="Calibri" w:hAnsi="Calibri"/>
        <w:i/>
        <w:color w:val="FB9120"/>
        <w:sz w:val="20"/>
      </w:rPr>
      <w:t>app.implied.com/trial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tabs>
        <w:tab w:pos="8640" w:val="right"/>
      </w:tabs>
      <w:spacing w:before="0" w:after="0" w:line="240" w:lineRule="auto"/>
      <w:jc w:val="left"/>
    </w:pPr>
    <w:r>
      <w:drawing>
        <wp:inline xmlns:a="http://schemas.openxmlformats.org/drawingml/2006/main" xmlns:pic="http://schemas.openxmlformats.org/drawingml/2006/picture">
          <wp:extent cx="5486400" cy="27432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pliedPromotionalHead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27432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