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Sysco Corporation (SYY) — Q4 FY2026 Earnings Preview</w:t>
      </w:r>
    </w:p>
    <w:p>
      <w:r>
        <w:rPr>
          <w:rFonts w:ascii="Calibri" w:hAnsi="Calibri"/>
          <w:color w:val="525866"/>
          <w:sz w:val="22"/>
        </w:rPr>
        <w:t>Prepared: August 4, 2026  |  Earnings Date: August 4, 2026  |  Reporting Period: Q4 FY2026 (13 weeks ended June 28, 2026)  |  Sector ETF Benchmark: XLP (Consumer Staples Select Sector SPDR)</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modestly constructive — consensus sits near management's own Q4 EPS guide of ~$1.51 and local case volume bar of ≥2.5%, leaving limited room for a large beat but also a well-anchored floor; the single biggest swing factor is whether </w:t>
      </w:r>
      <w:r>
        <w:rPr>
          <w:rFonts w:ascii="Calibri" w:hAnsi="Calibri"/>
          <w:b/>
          <w:color w:val="525866"/>
          <w:sz w:val="22"/>
        </w:rPr>
        <w:t>USFS local case volume can sustain its Q3 acceleration</w:t>
      </w:r>
      <w:r>
        <w:rPr>
          <w:rFonts w:ascii="Calibri" w:hAnsi="Calibri"/>
          <w:color w:val="525866"/>
          <w:sz w:val="22"/>
        </w:rPr>
        <w:t xml:space="preserve"> on a two-year stack basis despite flat restaurant traffic.</w:t>
      </w:r>
    </w:p>
    <w:p>
      <w:r>
        <w:rPr>
          <w:rFonts w:ascii="Calibri" w:hAnsi="Calibri"/>
          <w:color w:val="525866"/>
          <w:sz w:val="22"/>
        </w:rPr>
        <w:t xml:space="preserve">Heading into Q4 FY2026, Sysco's bar is precisely set: management guided adjusted EPS of approximately </w:t>
      </w:r>
      <w:r>
        <w:rPr>
          <w:rFonts w:ascii="Calibri" w:hAnsi="Calibri"/>
          <w:b/>
          <w:color w:val="525866"/>
          <w:sz w:val="22"/>
        </w:rPr>
        <w:t>$1.51</w:t>
      </w:r>
      <w:r>
        <w:rPr>
          <w:rFonts w:ascii="Calibri" w:hAnsi="Calibri"/>
          <w:color w:val="525866"/>
          <w:sz w:val="22"/>
        </w:rPr>
        <w:t xml:space="preserve"> and U.S. local case volume growth of </w:t>
      </w:r>
      <w:r>
        <w:rPr>
          <w:rFonts w:ascii="Calibri" w:hAnsi="Calibri"/>
          <w:b/>
          <w:color w:val="525866"/>
          <w:sz w:val="22"/>
        </w:rPr>
        <w:t>at least 2.5%</w:t>
      </w:r>
      <w:r>
        <w:rPr>
          <w:rFonts w:ascii="Calibri" w:hAnsi="Calibri"/>
          <w:color w:val="525866"/>
          <w:sz w:val="22"/>
        </w:rPr>
        <w:t xml:space="preserve"> — both figures now embedded in consensus, leaving the print as a confirmation rather than a discovery event. Management's tone on the April 28 earnings call was the most confident in several years, explicitly stating that all growth is self-help driven and that the company does not need macro improvement to deliver; the subsequent May 18 Restaurant Depot investor day reinforced that posture without changing numerical guidance. Estimate revisions have been essentially flat since the Q3 print (NTM EPS drifting from ~$1.513 to ~$1.492 over the past year), suggesting the Street is neither chasing the story higher nor fading it — a neutral revision backdrop that keeps the risk/reward balanced. The stock has rallied ~+16% from its post-Restaurant Depot announcement trough to ~$85, recovering most of the deal-shock decline, and now trades at roughly </w:t>
      </w:r>
      <w:r>
        <w:rPr>
          <w:rFonts w:ascii="Calibri" w:hAnsi="Calibri"/>
          <w:b/>
          <w:color w:val="525866"/>
          <w:sz w:val="22"/>
        </w:rPr>
        <w:t>17x NTM P/E</w:t>
      </w:r>
      <w:r>
        <w:rPr>
          <w:rFonts w:ascii="Calibri" w:hAnsi="Calibri"/>
          <w:color w:val="525866"/>
          <w:sz w:val="22"/>
        </w:rPr>
        <w:t xml:space="preserve"> — a slight discount to its recent range, implying the market has not yet fully re-rated for the volume inflection. The key wildcard is the </w:t>
      </w:r>
      <w:r>
        <w:rPr>
          <w:rFonts w:ascii="Calibri" w:hAnsi="Calibri"/>
          <w:b/>
          <w:color w:val="525866"/>
          <w:sz w:val="22"/>
        </w:rPr>
        <w:t>DOJ second request on the Restaurant Depot acquisition</w:t>
      </w:r>
      <w:r>
        <w:rPr>
          <w:rFonts w:ascii="Calibri" w:hAnsi="Calibri"/>
          <w:color w:val="525866"/>
          <w:sz w:val="22"/>
        </w:rPr>
        <w:t>: any incremental regulatory commentary — positive or negative — could move the stock more than the underlying operating results.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fairly low bar</w:t>
      </w:r>
      <w:r>
        <w:rPr>
          <w:rFonts w:ascii="Calibri" w:hAnsi="Calibri"/>
          <w:color w:val="525866"/>
          <w:sz w:val="22"/>
        </w:rPr>
        <w:t xml:space="preserve"> — management pre-set both the EPS (~$1.51) and local volume (≥2.5%) targets explicitly on the Q3 call, so the Street is essentially tracking guidance. </w:t>
      </w:r>
      <w:r>
        <w:rPr>
          <w:rFonts w:ascii="Calibri" w:hAnsi="Calibri"/>
          <w:b/>
          <w:color w:val="525866"/>
          <w:sz w:val="22"/>
        </w:rPr>
        <w:t>USFS local case volume growth</w:t>
      </w:r>
      <w:r>
        <w:rPr>
          <w:rFonts w:ascii="Calibri" w:hAnsi="Calibri"/>
          <w:color w:val="525866"/>
          <w:sz w:val="22"/>
        </w:rPr>
        <w:t xml:space="preserve"> is the bigger swing factor: a print above 3% would signal genuine acceleration on a two-year stack and likely drive the stock; a miss below 2.5% would raise questions about the self-help narrative.</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(Last Quarter)</w:t>
            </w:r>
          </w:p>
        </w:tc>
        <w:tc>
          <w:tcPr>
            <w:tcW w:type="dxa" w:w="1234"/>
            <w:shd w:val="clear" w:color="auto" w:fill="3B4259"/>
          </w:tcPr>
          <w:p>
            <w:r>
              <w:rPr>
                <w:rFonts w:ascii="Calibri" w:hAnsi="Calibri"/>
                <w:b/>
                <w:color w:val="FFFFFF"/>
                <w:sz w:val="22"/>
              </w:rPr>
              <w:t>Q4 FY2025 Actual (Prior Year Period)</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 (Est. vs. PY Actual)</w:t>
            </w:r>
          </w:p>
        </w:tc>
        <w:tc>
          <w:tcPr>
            <w:tcW w:type="dxa" w:w="1234"/>
            <w:shd w:val="clear" w:color="auto" w:fill="3B4259"/>
          </w:tcPr>
          <w:p>
            <w:r>
              <w:rPr>
                <w:rFonts w:ascii="Calibri" w:hAnsi="Calibri"/>
                <w:b/>
                <w:color w:val="FFFFFF"/>
                <w:sz w:val="22"/>
              </w:rPr>
              <w:t>Mgmt Guidance (Q4)</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$20.52B</w:t>
            </w:r>
          </w:p>
        </w:tc>
        <w:tc>
          <w:tcPr>
            <w:tcW w:type="dxa" w:w="1234"/>
          </w:tcPr>
          <w:p>
            <w:r>
              <w:rPr>
                <w:rFonts w:ascii="Calibri" w:hAnsi="Calibri"/>
                <w:sz w:val="22"/>
              </w:rPr>
              <w:t>$21.14B</w:t>
            </w:r>
          </w:p>
        </w:tc>
        <w:tc>
          <w:tcPr>
            <w:tcW w:type="dxa" w:w="1234"/>
          </w:tcPr>
          <w:p>
            <w:r>
              <w:rPr>
                <w:rFonts w:ascii="Calibri" w:hAnsi="Calibri"/>
                <w:sz w:val="22"/>
              </w:rPr>
              <w:t>$21.94B</w:t>
            </w:r>
          </w:p>
        </w:tc>
        <w:tc>
          <w:tcPr>
            <w:tcW w:type="dxa" w:w="1234"/>
          </w:tcPr>
          <w:p>
            <w:r>
              <w:rPr>
                <w:rFonts w:ascii="Calibri" w:hAnsi="Calibri"/>
                <w:sz w:val="22"/>
              </w:rPr>
              <w:t>+3.8%</w:t>
            </w:r>
          </w:p>
        </w:tc>
        <w:tc>
          <w:tcPr>
            <w:tcW w:type="dxa" w:w="1234"/>
          </w:tcPr>
          <w:p>
            <w:r>
              <w:rPr>
                <w:rFonts w:ascii="Calibri" w:hAnsi="Calibri"/>
                <w:sz w:val="22"/>
              </w:rPr>
              <w:t>~$84–$85B FY (implies ~$21.9B Q4)</w:t>
            </w:r>
          </w:p>
        </w:tc>
        <w:tc>
          <w:tcPr>
            <w:tcW w:type="dxa" w:w="1234"/>
          </w:tcPr>
          <w:p>
            <w:r>
              <w:rPr>
                <w:rFonts w:ascii="Calibri" w:hAnsi="Calibri"/>
                <w:sz w:val="22"/>
              </w:rPr>
              <w:t>~+0.2% vs. implied guide midpoint</w:t>
            </w:r>
          </w:p>
        </w:tc>
      </w:tr>
      <w:tr>
        <w:tc>
          <w:tcPr>
            <w:tcW w:type="dxa" w:w="1234"/>
          </w:tcPr>
          <w:p>
            <w:r>
              <w:rPr>
                <w:rFonts w:ascii="Calibri" w:hAnsi="Calibri"/>
                <w:sz w:val="22"/>
              </w:rPr>
              <w:t>Adj. EPS (Diluted, Operating)</w:t>
            </w:r>
          </w:p>
        </w:tc>
        <w:tc>
          <w:tcPr>
            <w:tcW w:type="dxa" w:w="1234"/>
          </w:tcPr>
          <w:p>
            <w:r>
              <w:rPr>
                <w:rFonts w:ascii="Calibri" w:hAnsi="Calibri"/>
                <w:sz w:val="22"/>
              </w:rPr>
              <w:t>$0.94</w:t>
            </w:r>
          </w:p>
        </w:tc>
        <w:tc>
          <w:tcPr>
            <w:tcW w:type="dxa" w:w="1234"/>
          </w:tcPr>
          <w:p>
            <w:r>
              <w:rPr>
                <w:rFonts w:ascii="Calibri" w:hAnsi="Calibri"/>
                <w:sz w:val="22"/>
              </w:rPr>
              <w:t>$1.48</w:t>
            </w:r>
          </w:p>
        </w:tc>
        <w:tc>
          <w:tcPr>
            <w:tcW w:type="dxa" w:w="1234"/>
          </w:tcPr>
          <w:p>
            <w:r>
              <w:rPr>
                <w:rFonts w:ascii="Calibri" w:hAnsi="Calibri"/>
                <w:sz w:val="22"/>
              </w:rPr>
              <w:t>$1.51</w:t>
            </w:r>
          </w:p>
        </w:tc>
        <w:tc>
          <w:tcPr>
            <w:tcW w:type="dxa" w:w="1234"/>
          </w:tcPr>
          <w:p>
            <w:r>
              <w:rPr>
                <w:rFonts w:ascii="Calibri" w:hAnsi="Calibri"/>
                <w:sz w:val="22"/>
              </w:rPr>
              <w:t>+2.0%</w:t>
            </w:r>
          </w:p>
        </w:tc>
        <w:tc>
          <w:tcPr>
            <w:tcW w:type="dxa" w:w="1234"/>
          </w:tcPr>
          <w:p>
            <w:r>
              <w:rPr>
                <w:rFonts w:ascii="Calibri" w:hAnsi="Calibri"/>
                <w:sz w:val="22"/>
              </w:rPr>
              <w:t>~$1.51</w:t>
            </w:r>
          </w:p>
        </w:tc>
        <w:tc>
          <w:tcPr>
            <w:tcW w:type="dxa" w:w="1234"/>
          </w:tcPr>
          <w:p>
            <w:r>
              <w:rPr>
                <w:rFonts w:ascii="Calibri" w:hAnsi="Calibri"/>
                <w:sz w:val="22"/>
              </w:rPr>
              <w:t>~0% (consensus = guide)</w:t>
            </w:r>
          </w:p>
        </w:tc>
      </w:tr>
      <w:tr>
        <w:tc>
          <w:tcPr>
            <w:tcW w:type="dxa" w:w="1234"/>
          </w:tcPr>
          <w:p>
            <w:r>
              <w:rPr>
                <w:rFonts w:ascii="Calibri" w:hAnsi="Calibri"/>
                <w:sz w:val="22"/>
              </w:rPr>
              <w:t>USFS Local Case Volume Growth (%)</w:t>
            </w:r>
          </w:p>
        </w:tc>
        <w:tc>
          <w:tcPr>
            <w:tcW w:type="dxa" w:w="1234"/>
          </w:tcPr>
          <w:p>
            <w:r>
              <w:rPr>
                <w:rFonts w:ascii="Calibri" w:hAnsi="Calibri"/>
                <w:sz w:val="22"/>
              </w:rPr>
              <w:t>+3.3%</w:t>
            </w:r>
          </w:p>
        </w:tc>
        <w:tc>
          <w:tcPr>
            <w:tcW w:type="dxa" w:w="1234"/>
          </w:tcPr>
          <w:p>
            <w:r>
              <w:rPr>
                <w:rFonts w:ascii="Calibri" w:hAnsi="Calibri"/>
                <w:sz w:val="22"/>
              </w:rPr>
              <w:t>−1.4%</w:t>
            </w:r>
          </w:p>
        </w:tc>
        <w:tc>
          <w:tcPr>
            <w:tcW w:type="dxa" w:w="1234"/>
          </w:tcPr>
          <w:p>
            <w:r>
              <w:rPr>
                <w:rFonts w:ascii="Calibri" w:hAnsi="Calibri"/>
                <w:sz w:val="22"/>
              </w:rPr>
              <w:t>+2.65%</w:t>
            </w:r>
          </w:p>
        </w:tc>
        <w:tc>
          <w:tcPr>
            <w:tcW w:type="dxa" w:w="1234"/>
          </w:tcPr>
          <w:p>
            <w:r>
              <w:rPr>
                <w:rFonts w:ascii="Calibri" w:hAnsi="Calibri"/>
                <w:sz w:val="22"/>
              </w:rPr>
              <w:t>~+405 bps YoY</w:t>
            </w:r>
          </w:p>
        </w:tc>
        <w:tc>
          <w:tcPr>
            <w:tcW w:type="dxa" w:w="1234"/>
          </w:tcPr>
          <w:p>
            <w:r>
              <w:rPr>
                <w:rFonts w:ascii="Calibri" w:hAnsi="Calibri"/>
                <w:sz w:val="22"/>
              </w:rPr>
              <w:t>≥2.5%</w:t>
            </w:r>
          </w:p>
        </w:tc>
        <w:tc>
          <w:tcPr>
            <w:tcW w:type="dxa" w:w="1234"/>
          </w:tcPr>
          <w:p>
            <w:r>
              <w:rPr>
                <w:rFonts w:ascii="Calibri" w:hAnsi="Calibri"/>
                <w:sz w:val="22"/>
              </w:rPr>
              <w:t>+15 bps above guide floor</w:t>
            </w:r>
          </w:p>
        </w:tc>
      </w:tr>
      <w:tr>
        <w:tc>
          <w:tcPr>
            <w:tcW w:type="dxa" w:w="1234"/>
          </w:tcPr>
          <w:p>
            <w:r>
              <w:rPr>
                <w:rFonts w:ascii="Calibri" w:hAnsi="Calibri"/>
                <w:sz w:val="22"/>
              </w:rPr>
              <w:t>Gross Margin — Operating (%)</w:t>
            </w:r>
          </w:p>
        </w:tc>
        <w:tc>
          <w:tcPr>
            <w:tcW w:type="dxa" w:w="1234"/>
          </w:tcPr>
          <w:p>
            <w:r>
              <w:rPr>
                <w:rFonts w:ascii="Calibri" w:hAnsi="Calibri"/>
                <w:sz w:val="22"/>
              </w:rPr>
              <w:t>18.58%</w:t>
            </w:r>
          </w:p>
        </w:tc>
        <w:tc>
          <w:tcPr>
            <w:tcW w:type="dxa" w:w="1234"/>
          </w:tcPr>
          <w:p>
            <w:r>
              <w:rPr>
                <w:rFonts w:ascii="Calibri" w:hAnsi="Calibri"/>
                <w:sz w:val="22"/>
              </w:rPr>
              <w:t>18.86%</w:t>
            </w:r>
          </w:p>
        </w:tc>
        <w:tc>
          <w:tcPr>
            <w:tcW w:type="dxa" w:w="1234"/>
          </w:tcPr>
          <w:p>
            <w:r>
              <w:rPr>
                <w:rFonts w:ascii="Calibri" w:hAnsi="Calibri"/>
                <w:sz w:val="22"/>
              </w:rPr>
              <w:t>18.96%</w:t>
            </w:r>
          </w:p>
        </w:tc>
        <w:tc>
          <w:tcPr>
            <w:tcW w:type="dxa" w:w="1234"/>
          </w:tcPr>
          <w:p>
            <w:r>
              <w:rPr>
                <w:rFonts w:ascii="Calibri" w:hAnsi="Calibri"/>
                <w:sz w:val="22"/>
              </w:rPr>
              <w:t>+10 bps YoY</w:t>
            </w:r>
          </w:p>
        </w:tc>
        <w:tc>
          <w:tcPr>
            <w:tcW w:type="dxa" w:w="1234"/>
          </w:tcPr>
          <w:p>
            <w:r>
              <w:rPr>
                <w:rFonts w:ascii="Calibri" w:hAnsi="Calibri"/>
                <w:sz w:val="22"/>
              </w:rPr>
              <w:t>No explicit Q4 guide; FY guide implies expansion</w:t>
            </w:r>
          </w:p>
        </w:tc>
        <w:tc>
          <w:tcPr>
            <w:tcW w:type="dxa" w:w="1234"/>
          </w:tcPr>
          <w:p>
            <w:r>
              <w:rPr>
                <w:rFonts w:ascii="Calibri" w:hAnsi="Calibri"/>
                <w:sz w:val="22"/>
              </w:rPr>
              <w:t>N/A (no specific Q4 guide)</w:t>
            </w:r>
          </w:p>
        </w:tc>
      </w:tr>
      <w:tr>
        <w:tc>
          <w:tcPr>
            <w:tcW w:type="dxa" w:w="1234"/>
          </w:tcPr>
          <w:p>
            <w:r>
              <w:rPr>
                <w:rFonts w:ascii="Calibri" w:hAnsi="Calibri"/>
                <w:sz w:val="22"/>
              </w:rPr>
              <w:t>Adj. Operating Income ($B)</w:t>
            </w:r>
          </w:p>
        </w:tc>
        <w:tc>
          <w:tcPr>
            <w:tcW w:type="dxa" w:w="1234"/>
          </w:tcPr>
          <w:p>
            <w:r>
              <w:rPr>
                <w:rFonts w:ascii="Calibri" w:hAnsi="Calibri"/>
                <w:sz w:val="22"/>
              </w:rPr>
              <w:t>$0.768B</w:t>
            </w:r>
          </w:p>
        </w:tc>
        <w:tc>
          <w:tcPr>
            <w:tcW w:type="dxa" w:w="1234"/>
          </w:tcPr>
          <w:p>
            <w:r>
              <w:rPr>
                <w:rFonts w:ascii="Calibri" w:hAnsi="Calibri"/>
                <w:sz w:val="22"/>
              </w:rPr>
              <w:t>$1.095B</w:t>
            </w:r>
          </w:p>
        </w:tc>
        <w:tc>
          <w:tcPr>
            <w:tcW w:type="dxa" w:w="1234"/>
          </w:tcPr>
          <w:p>
            <w:r>
              <w:rPr>
                <w:rFonts w:ascii="Calibri" w:hAnsi="Calibri"/>
                <w:sz w:val="22"/>
              </w:rPr>
              <w:t>$1.144B</w:t>
            </w:r>
          </w:p>
        </w:tc>
        <w:tc>
          <w:tcPr>
            <w:tcW w:type="dxa" w:w="1234"/>
          </w:tcPr>
          <w:p>
            <w:r>
              <w:rPr>
                <w:rFonts w:ascii="Calibri" w:hAnsi="Calibri"/>
                <w:sz w:val="22"/>
              </w:rPr>
              <w:t>+4.5%</w:t>
            </w:r>
          </w:p>
        </w:tc>
        <w:tc>
          <w:tcPr>
            <w:tcW w:type="dxa" w:w="1234"/>
          </w:tcPr>
          <w:p>
            <w:r>
              <w:rPr>
                <w:rFonts w:ascii="Calibri" w:hAnsi="Calibri"/>
                <w:sz w:val="22"/>
              </w:rPr>
              <w:t>No explicit Q4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(Revenue, Adj. EPS, USFS Local Case Growth, Gross Margin, Adj. Operating Income); SYY Q3 FY2026 Earnings Call transcript and Earnings Release (April 28, 2026) for management guidance figures.</w:t>
      </w:r>
    </w:p>
    <w:p>
      <w:pPr>
        <w:pStyle w:val="Heading3"/>
      </w:pPr>
      <w:r>
        <w:rPr>
          <w:rFonts w:ascii="Calibri" w:hAnsi="Calibri"/>
          <w:b/>
          <w:color w:val="3B4259"/>
          <w:sz w:val="24"/>
        </w:rPr>
        <w:t>Table 2 — Beat/Miss History: Last 8 Quarters (Top 2 KPIs: Adj. EPS &amp; USFS Local Case Volume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w:t>
            </w:r>
          </w:p>
        </w:tc>
        <w:tc>
          <w:tcPr>
            <w:tcW w:type="dxa" w:w="1440"/>
          </w:tcPr>
          <w:p>
            <w:r>
              <w:rPr>
                <w:rFonts w:ascii="Calibri" w:hAnsi="Calibri"/>
                <w:sz w:val="22"/>
              </w:rPr>
              <w:t>Adj. EPS</w:t>
            </w:r>
          </w:p>
        </w:tc>
        <w:tc>
          <w:tcPr>
            <w:tcW w:type="dxa" w:w="1440"/>
          </w:tcPr>
          <w:p>
            <w:r>
              <w:rPr>
                <w:rFonts w:ascii="Calibri" w:hAnsi="Calibri"/>
                <w:sz w:val="22"/>
              </w:rPr>
              <w:t>$0.94</w:t>
            </w:r>
          </w:p>
        </w:tc>
        <w:tc>
          <w:tcPr>
            <w:tcW w:type="dxa" w:w="1440"/>
          </w:tcPr>
          <w:p>
            <w:r>
              <w:rPr>
                <w:rFonts w:ascii="Calibri" w:hAnsi="Calibri"/>
                <w:sz w:val="22"/>
              </w:rPr>
              <w:t>$0.945</w:t>
            </w:r>
          </w:p>
        </w:tc>
        <w:tc>
          <w:tcPr>
            <w:tcW w:type="dxa" w:w="1440"/>
          </w:tcPr>
          <w:p>
            <w:r>
              <w:rPr>
                <w:rFonts w:ascii="Calibri" w:hAnsi="Calibri"/>
                <w:sz w:val="22"/>
              </w:rPr>
              <w:t>−0.5%</w:t>
            </w:r>
          </w:p>
        </w:tc>
        <w:tc>
          <w:tcPr>
            <w:tcW w:type="dxa" w:w="1440"/>
          </w:tcPr>
          <w:p>
            <w:r>
              <w:rPr>
                <w:rFonts w:ascii="Calibri" w:hAnsi="Calibri"/>
                <w:b/>
                <w:color w:val="002FA7"/>
                <w:sz w:val="22"/>
              </w:rPr>
              <w:t>In-Line</w:t>
            </w:r>
          </w:p>
        </w:tc>
      </w:tr>
      <w:tr>
        <w:tc>
          <w:tcPr>
            <w:tcW w:type="dxa" w:w="1440"/>
          </w:tcPr>
          <w:p>
            <w:r>
              <w:rPr>
                <w:rFonts w:ascii="Calibri" w:hAnsi="Calibri"/>
                <w:sz w:val="22"/>
              </w:rPr>
              <w:t>Q3 FY2026</w:t>
            </w:r>
          </w:p>
        </w:tc>
        <w:tc>
          <w:tcPr>
            <w:tcW w:type="dxa" w:w="1440"/>
          </w:tcPr>
          <w:p>
            <w:r>
              <w:rPr>
                <w:rFonts w:ascii="Calibri" w:hAnsi="Calibri"/>
                <w:sz w:val="22"/>
              </w:rPr>
              <w:t>USFS Local Case Vol.</w:t>
            </w:r>
          </w:p>
        </w:tc>
        <w:tc>
          <w:tcPr>
            <w:tcW w:type="dxa" w:w="1440"/>
          </w:tcPr>
          <w:p>
            <w:r>
              <w:rPr>
                <w:rFonts w:ascii="Calibri" w:hAnsi="Calibri"/>
                <w:sz w:val="22"/>
              </w:rPr>
              <w:t>+3.3%</w:t>
            </w:r>
          </w:p>
        </w:tc>
        <w:tc>
          <w:tcPr>
            <w:tcW w:type="dxa" w:w="1440"/>
          </w:tcPr>
          <w:p>
            <w:r>
              <w:rPr>
                <w:rFonts w:ascii="Calibri" w:hAnsi="Calibri"/>
                <w:sz w:val="22"/>
              </w:rPr>
              <w:t>+3.13%</w:t>
            </w:r>
          </w:p>
        </w:tc>
        <w:tc>
          <w:tcPr>
            <w:tcW w:type="dxa" w:w="1440"/>
          </w:tcPr>
          <w:p>
            <w:r>
              <w:rPr>
                <w:rFonts w:ascii="Calibri" w:hAnsi="Calibri"/>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Adj. EPS</w:t>
            </w:r>
          </w:p>
        </w:tc>
        <w:tc>
          <w:tcPr>
            <w:tcW w:type="dxa" w:w="1440"/>
          </w:tcPr>
          <w:p>
            <w:r>
              <w:rPr>
                <w:rFonts w:ascii="Calibri" w:hAnsi="Calibri"/>
                <w:sz w:val="22"/>
              </w:rPr>
              <w:t>$0.99</w:t>
            </w:r>
          </w:p>
        </w:tc>
        <w:tc>
          <w:tcPr>
            <w:tcW w:type="dxa" w:w="1440"/>
          </w:tcPr>
          <w:p>
            <w:r>
              <w:rPr>
                <w:rFonts w:ascii="Calibri" w:hAnsi="Calibri"/>
                <w:sz w:val="22"/>
              </w:rPr>
              <w:t>$0.974</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USFS Local Case Vol.</w:t>
            </w:r>
          </w:p>
        </w:tc>
        <w:tc>
          <w:tcPr>
            <w:tcW w:type="dxa" w:w="1440"/>
          </w:tcPr>
          <w:p>
            <w:r>
              <w:rPr>
                <w:rFonts w:ascii="Calibri" w:hAnsi="Calibri"/>
                <w:sz w:val="22"/>
              </w:rPr>
              <w:t>+1.2%</w:t>
            </w:r>
          </w:p>
        </w:tc>
        <w:tc>
          <w:tcPr>
            <w:tcW w:type="dxa" w:w="1440"/>
          </w:tcPr>
          <w:p>
            <w:r>
              <w:rPr>
                <w:rFonts w:ascii="Calibri" w:hAnsi="Calibri"/>
                <w:sz w:val="22"/>
              </w:rPr>
              <w:t>+0.86%</w:t>
            </w:r>
          </w:p>
        </w:tc>
        <w:tc>
          <w:tcPr>
            <w:tcW w:type="dxa" w:w="1440"/>
          </w:tcPr>
          <w:p>
            <w:r>
              <w:rPr>
                <w:rFonts w:ascii="Calibri" w:hAnsi="Calibri"/>
                <w:sz w:val="22"/>
              </w:rPr>
              <w:t>+39.5%</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Adj. EPS</w:t>
            </w:r>
          </w:p>
        </w:tc>
        <w:tc>
          <w:tcPr>
            <w:tcW w:type="dxa" w:w="1440"/>
          </w:tcPr>
          <w:p>
            <w:r>
              <w:rPr>
                <w:rFonts w:ascii="Calibri" w:hAnsi="Calibri"/>
                <w:sz w:val="22"/>
              </w:rPr>
              <w:t>$1.15</w:t>
            </w:r>
          </w:p>
        </w:tc>
        <w:tc>
          <w:tcPr>
            <w:tcW w:type="dxa" w:w="1440"/>
          </w:tcPr>
          <w:p>
            <w:r>
              <w:rPr>
                <w:rFonts w:ascii="Calibri" w:hAnsi="Calibri"/>
                <w:sz w:val="22"/>
              </w:rPr>
              <w:t>$1.122</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USFS Local Case Vol.</w:t>
            </w:r>
          </w:p>
        </w:tc>
        <w:tc>
          <w:tcPr>
            <w:tcW w:type="dxa" w:w="1440"/>
          </w:tcPr>
          <w:p>
            <w:r>
              <w:rPr>
                <w:rFonts w:ascii="Calibri" w:hAnsi="Calibri"/>
                <w:sz w:val="22"/>
              </w:rPr>
              <w:t>−0.2%</w:t>
            </w:r>
          </w:p>
        </w:tc>
        <w:tc>
          <w:tcPr>
            <w:tcW w:type="dxa" w:w="1440"/>
          </w:tcPr>
          <w:p>
            <w:r>
              <w:rPr>
                <w:rFonts w:ascii="Calibri" w:hAnsi="Calibri"/>
                <w:sz w:val="22"/>
              </w:rPr>
              <w:t>−0.25%</w:t>
            </w:r>
          </w:p>
        </w:tc>
        <w:tc>
          <w:tcPr>
            <w:tcW w:type="dxa" w:w="1440"/>
          </w:tcPr>
          <w:p>
            <w:r>
              <w:rPr>
                <w:rFonts w:ascii="Calibri" w:hAnsi="Calibri"/>
                <w:sz w:val="22"/>
              </w:rPr>
              <w:t>N/M (near zero)</w:t>
            </w:r>
          </w:p>
        </w:tc>
        <w:tc>
          <w:tcPr>
            <w:tcW w:type="dxa" w:w="1440"/>
          </w:tcPr>
          <w:p>
            <w:r>
              <w:rPr>
                <w:rFonts w:ascii="Calibri" w:hAnsi="Calibri"/>
                <w:b/>
                <w:color w:val="002FA7"/>
                <w:sz w:val="22"/>
              </w:rPr>
              <w:t>In-Line</w:t>
            </w:r>
          </w:p>
        </w:tc>
      </w:tr>
      <w:tr>
        <w:tc>
          <w:tcPr>
            <w:tcW w:type="dxa" w:w="1440"/>
          </w:tcPr>
          <w:p>
            <w:r>
              <w:rPr>
                <w:rFonts w:ascii="Calibri" w:hAnsi="Calibri"/>
                <w:sz w:val="22"/>
              </w:rPr>
              <w:t>Q4 FY2025</w:t>
            </w:r>
          </w:p>
        </w:tc>
        <w:tc>
          <w:tcPr>
            <w:tcW w:type="dxa" w:w="1440"/>
          </w:tcPr>
          <w:p>
            <w:r>
              <w:rPr>
                <w:rFonts w:ascii="Calibri" w:hAnsi="Calibri"/>
                <w:sz w:val="22"/>
              </w:rPr>
              <w:t>Adj. EPS</w:t>
            </w:r>
          </w:p>
        </w:tc>
        <w:tc>
          <w:tcPr>
            <w:tcW w:type="dxa" w:w="1440"/>
          </w:tcPr>
          <w:p>
            <w:r>
              <w:rPr>
                <w:rFonts w:ascii="Calibri" w:hAnsi="Calibri"/>
                <w:sz w:val="22"/>
              </w:rPr>
              <w:t>$1.48</w:t>
            </w:r>
          </w:p>
        </w:tc>
        <w:tc>
          <w:tcPr>
            <w:tcW w:type="dxa" w:w="1440"/>
          </w:tcPr>
          <w:p>
            <w:r>
              <w:rPr>
                <w:rFonts w:ascii="Calibri" w:hAnsi="Calibri"/>
                <w:sz w:val="22"/>
              </w:rPr>
              <w:t>$1.391</w:t>
            </w:r>
          </w:p>
        </w:tc>
        <w:tc>
          <w:tcPr>
            <w:tcW w:type="dxa" w:w="1440"/>
          </w:tcPr>
          <w:p>
            <w:r>
              <w:rPr>
                <w:rFonts w:ascii="Calibri" w:hAnsi="Calibri"/>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USFS Local Case Vol.</w:t>
            </w:r>
          </w:p>
        </w:tc>
        <w:tc>
          <w:tcPr>
            <w:tcW w:type="dxa" w:w="1440"/>
          </w:tcPr>
          <w:p>
            <w:r>
              <w:rPr>
                <w:rFonts w:ascii="Calibri" w:hAnsi="Calibri"/>
                <w:sz w:val="22"/>
              </w:rPr>
              <w:t>−1.4%</w:t>
            </w:r>
          </w:p>
        </w:tc>
        <w:tc>
          <w:tcPr>
            <w:tcW w:type="dxa" w:w="1440"/>
          </w:tcPr>
          <w:p>
            <w:r>
              <w:rPr>
                <w:rFonts w:ascii="Calibri" w:hAnsi="Calibri"/>
                <w:sz w:val="22"/>
              </w:rPr>
              <w:t>−2.0%</w:t>
            </w:r>
          </w:p>
        </w:tc>
        <w:tc>
          <w:tcPr>
            <w:tcW w:type="dxa" w:w="1440"/>
          </w:tcPr>
          <w:p>
            <w:r>
              <w:rPr>
                <w:rFonts w:ascii="Calibri" w:hAnsi="Calibri"/>
                <w:sz w:val="22"/>
              </w:rPr>
              <w:t>+30.0%</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Adj. EPS</w:t>
            </w:r>
          </w:p>
        </w:tc>
        <w:tc>
          <w:tcPr>
            <w:tcW w:type="dxa" w:w="1440"/>
          </w:tcPr>
          <w:p>
            <w:r>
              <w:rPr>
                <w:rFonts w:ascii="Calibri" w:hAnsi="Calibri"/>
                <w:sz w:val="22"/>
              </w:rPr>
              <w:t>$0.96</w:t>
            </w:r>
          </w:p>
        </w:tc>
        <w:tc>
          <w:tcPr>
            <w:tcW w:type="dxa" w:w="1440"/>
          </w:tcPr>
          <w:p>
            <w:r>
              <w:rPr>
                <w:rFonts w:ascii="Calibri" w:hAnsi="Calibri"/>
                <w:sz w:val="22"/>
              </w:rPr>
              <w:t>$1.019</w:t>
            </w:r>
          </w:p>
        </w:tc>
        <w:tc>
          <w:tcPr>
            <w:tcW w:type="dxa" w:w="1440"/>
          </w:tcPr>
          <w:p>
            <w:r>
              <w:rPr>
                <w:rFonts w:ascii="Calibri" w:hAnsi="Calibri"/>
                <w:sz w:val="22"/>
              </w:rPr>
              <w:t>−5.8%</w:t>
            </w:r>
          </w:p>
        </w:tc>
        <w:tc>
          <w:tcPr>
            <w:tcW w:type="dxa" w:w="1440"/>
          </w:tcPr>
          <w:p>
            <w:r>
              <w:rPr>
                <w:rFonts w:ascii="Calibri" w:hAnsi="Calibri"/>
                <w:b/>
                <w:color w:val="E5484D"/>
                <w:sz w:val="22"/>
              </w:rPr>
              <w:t>Miss</w:t>
            </w:r>
          </w:p>
        </w:tc>
      </w:tr>
      <w:tr>
        <w:tc>
          <w:tcPr>
            <w:tcW w:type="dxa" w:w="1440"/>
          </w:tcPr>
          <w:p>
            <w:r>
              <w:rPr>
                <w:rFonts w:ascii="Calibri" w:hAnsi="Calibri"/>
                <w:sz w:val="22"/>
              </w:rPr>
              <w:t>Q3 FY2025</w:t>
            </w:r>
          </w:p>
        </w:tc>
        <w:tc>
          <w:tcPr>
            <w:tcW w:type="dxa" w:w="1440"/>
          </w:tcPr>
          <w:p>
            <w:r>
              <w:rPr>
                <w:rFonts w:ascii="Calibri" w:hAnsi="Calibri"/>
                <w:sz w:val="22"/>
              </w:rPr>
              <w:t>USFS Local Case Vol.</w:t>
            </w:r>
          </w:p>
        </w:tc>
        <w:tc>
          <w:tcPr>
            <w:tcW w:type="dxa" w:w="1440"/>
          </w:tcPr>
          <w:p>
            <w:r>
              <w:rPr>
                <w:rFonts w:ascii="Calibri" w:hAnsi="Calibri"/>
                <w:sz w:val="22"/>
              </w:rPr>
              <w:t>−3.4%</w:t>
            </w:r>
          </w:p>
        </w:tc>
        <w:tc>
          <w:tcPr>
            <w:tcW w:type="dxa" w:w="1440"/>
          </w:tcPr>
          <w:p>
            <w:r>
              <w:rPr>
                <w:rFonts w:ascii="Calibri" w:hAnsi="Calibri"/>
                <w:sz w:val="22"/>
              </w:rPr>
              <w:t>−2.0%</w:t>
            </w:r>
          </w:p>
        </w:tc>
        <w:tc>
          <w:tcPr>
            <w:tcW w:type="dxa" w:w="1440"/>
          </w:tcPr>
          <w:p>
            <w:r>
              <w:rPr>
                <w:rFonts w:ascii="Calibri" w:hAnsi="Calibri"/>
                <w:sz w:val="22"/>
              </w:rPr>
              <w:t>−70.0%</w:t>
            </w:r>
          </w:p>
        </w:tc>
        <w:tc>
          <w:tcPr>
            <w:tcW w:type="dxa" w:w="1440"/>
          </w:tcPr>
          <w:p>
            <w:r>
              <w:rPr>
                <w:rFonts w:ascii="Calibri" w:hAnsi="Calibri"/>
                <w:b/>
                <w:color w:val="E5484D"/>
                <w:sz w:val="22"/>
              </w:rPr>
              <w:t>Miss</w:t>
            </w:r>
          </w:p>
        </w:tc>
      </w:tr>
      <w:tr>
        <w:tc>
          <w:tcPr>
            <w:tcW w:type="dxa" w:w="1440"/>
          </w:tcPr>
          <w:p>
            <w:r>
              <w:rPr>
                <w:rFonts w:ascii="Calibri" w:hAnsi="Calibri"/>
                <w:sz w:val="22"/>
              </w:rPr>
              <w:t>Q2 FY2025</w:t>
            </w:r>
          </w:p>
        </w:tc>
        <w:tc>
          <w:tcPr>
            <w:tcW w:type="dxa" w:w="1440"/>
          </w:tcPr>
          <w:p>
            <w:r>
              <w:rPr>
                <w:rFonts w:ascii="Calibri" w:hAnsi="Calibri"/>
                <w:sz w:val="22"/>
              </w:rPr>
              <w:t>Adj. EPS</w:t>
            </w:r>
          </w:p>
        </w:tc>
        <w:tc>
          <w:tcPr>
            <w:tcW w:type="dxa" w:w="1440"/>
          </w:tcPr>
          <w:p>
            <w:r>
              <w:rPr>
                <w:rFonts w:ascii="Calibri" w:hAnsi="Calibri"/>
                <w:sz w:val="22"/>
              </w:rPr>
              <w:t>$0.93</w:t>
            </w:r>
          </w:p>
        </w:tc>
        <w:tc>
          <w:tcPr>
            <w:tcW w:type="dxa" w:w="1440"/>
          </w:tcPr>
          <w:p>
            <w:r>
              <w:rPr>
                <w:rFonts w:ascii="Calibri" w:hAnsi="Calibri"/>
                <w:sz w:val="22"/>
              </w:rPr>
              <w:t>$0.920</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USFS Local Case Vol.</w:t>
            </w:r>
          </w:p>
        </w:tc>
        <w:tc>
          <w:tcPr>
            <w:tcW w:type="dxa" w:w="1440"/>
          </w:tcPr>
          <w:p>
            <w:r>
              <w:rPr>
                <w:rFonts w:ascii="Calibri" w:hAnsi="Calibri"/>
                <w:sz w:val="22"/>
              </w:rPr>
              <w:t>−0.9%</w:t>
            </w:r>
          </w:p>
        </w:tc>
        <w:tc>
          <w:tcPr>
            <w:tcW w:type="dxa" w:w="1440"/>
          </w:tcPr>
          <w:p>
            <w:r>
              <w:rPr>
                <w:rFonts w:ascii="Calibri" w:hAnsi="Calibri"/>
                <w:sz w:val="22"/>
              </w:rPr>
              <w:t>+0.3%</w:t>
            </w:r>
          </w:p>
        </w:tc>
        <w:tc>
          <w:tcPr>
            <w:tcW w:type="dxa" w:w="1440"/>
          </w:tcPr>
          <w:p>
            <w:r>
              <w:rPr>
                <w:rFonts w:ascii="Calibri" w:hAnsi="Calibri"/>
                <w:sz w:val="22"/>
              </w:rPr>
              <w:t>N/M (sign flip)</w:t>
            </w:r>
          </w:p>
        </w:tc>
        <w:tc>
          <w:tcPr>
            <w:tcW w:type="dxa" w:w="1440"/>
          </w:tcPr>
          <w:p>
            <w:r>
              <w:rPr>
                <w:rFonts w:ascii="Calibri" w:hAnsi="Calibri"/>
                <w:b/>
                <w:color w:val="E5484D"/>
                <w:sz w:val="22"/>
              </w:rPr>
              <w:t>Miss</w:t>
            </w:r>
          </w:p>
        </w:tc>
      </w:tr>
      <w:tr>
        <w:tc>
          <w:tcPr>
            <w:tcW w:type="dxa" w:w="1440"/>
          </w:tcPr>
          <w:p>
            <w:r>
              <w:rPr>
                <w:rFonts w:ascii="Calibri" w:hAnsi="Calibri"/>
                <w:sz w:val="22"/>
              </w:rPr>
              <w:t>Q1 FY2025</w:t>
            </w:r>
          </w:p>
        </w:tc>
        <w:tc>
          <w:tcPr>
            <w:tcW w:type="dxa" w:w="1440"/>
          </w:tcPr>
          <w:p>
            <w:r>
              <w:rPr>
                <w:rFonts w:ascii="Calibri" w:hAnsi="Calibri"/>
                <w:sz w:val="22"/>
              </w:rPr>
              <w:t>Adj. EPS</w:t>
            </w:r>
          </w:p>
        </w:tc>
        <w:tc>
          <w:tcPr>
            <w:tcW w:type="dxa" w:w="1440"/>
          </w:tcPr>
          <w:p>
            <w:r>
              <w:rPr>
                <w:rFonts w:ascii="Calibri" w:hAnsi="Calibri"/>
                <w:sz w:val="22"/>
              </w:rPr>
              <w:t>$1.09</w:t>
            </w:r>
          </w:p>
        </w:tc>
        <w:tc>
          <w:tcPr>
            <w:tcW w:type="dxa" w:w="1440"/>
          </w:tcPr>
          <w:p>
            <w:r>
              <w:rPr>
                <w:rFonts w:ascii="Calibri" w:hAnsi="Calibri"/>
                <w:sz w:val="22"/>
              </w:rPr>
              <w:t>$1.125</w:t>
            </w:r>
          </w:p>
        </w:tc>
        <w:tc>
          <w:tcPr>
            <w:tcW w:type="dxa" w:w="1440"/>
          </w:tcPr>
          <w:p>
            <w:r>
              <w:rPr>
                <w:rFonts w:ascii="Calibri" w:hAnsi="Calibri"/>
                <w:sz w:val="22"/>
              </w:rPr>
              <w:t>−3.1%</w:t>
            </w:r>
          </w:p>
        </w:tc>
        <w:tc>
          <w:tcPr>
            <w:tcW w:type="dxa" w:w="1440"/>
          </w:tcPr>
          <w:p>
            <w:r>
              <w:rPr>
                <w:rFonts w:ascii="Calibri" w:hAnsi="Calibri"/>
                <w:b/>
                <w:color w:val="E5484D"/>
                <w:sz w:val="22"/>
              </w:rPr>
              <w:t>Miss</w:t>
            </w:r>
          </w:p>
        </w:tc>
      </w:tr>
      <w:tr>
        <w:tc>
          <w:tcPr>
            <w:tcW w:type="dxa" w:w="1440"/>
          </w:tcPr>
          <w:p>
            <w:r>
              <w:rPr>
                <w:rFonts w:ascii="Calibri" w:hAnsi="Calibri"/>
                <w:sz w:val="22"/>
              </w:rPr>
              <w:t>Q1 FY2025</w:t>
            </w:r>
          </w:p>
        </w:tc>
        <w:tc>
          <w:tcPr>
            <w:tcW w:type="dxa" w:w="1440"/>
          </w:tcPr>
          <w:p>
            <w:r>
              <w:rPr>
                <w:rFonts w:ascii="Calibri" w:hAnsi="Calibri"/>
                <w:sz w:val="22"/>
              </w:rPr>
              <w:t>USFS Local Case Vol.</w:t>
            </w:r>
          </w:p>
        </w:tc>
        <w:tc>
          <w:tcPr>
            <w:tcW w:type="dxa" w:w="1440"/>
          </w:tcPr>
          <w:p>
            <w:r>
              <w:rPr>
                <w:rFonts w:ascii="Calibri" w:hAnsi="Calibri"/>
                <w:sz w:val="22"/>
              </w:rPr>
              <w:t>+0.2%</w:t>
            </w:r>
          </w:p>
        </w:tc>
        <w:tc>
          <w:tcPr>
            <w:tcW w:type="dxa" w:w="1440"/>
          </w:tcPr>
          <w:p>
            <w:r>
              <w:rPr>
                <w:rFonts w:ascii="Calibri" w:hAnsi="Calibri"/>
                <w:sz w:val="22"/>
              </w:rPr>
              <w:t>+0.4%</w:t>
            </w:r>
          </w:p>
        </w:tc>
        <w:tc>
          <w:tcPr>
            <w:tcW w:type="dxa" w:w="1440"/>
          </w:tcPr>
          <w:p>
            <w:r>
              <w:rPr>
                <w:rFonts w:ascii="Calibri" w:hAnsi="Calibri"/>
                <w:sz w:val="22"/>
              </w:rPr>
              <w:t>−50.0%</w:t>
            </w:r>
          </w:p>
        </w:tc>
        <w:tc>
          <w:tcPr>
            <w:tcW w:type="dxa" w:w="1440"/>
          </w:tcPr>
          <w:p>
            <w:r>
              <w:rPr>
                <w:rFonts w:ascii="Calibri" w:hAnsi="Calibri"/>
                <w:b/>
                <w:color w:val="E5484D"/>
                <w:sz w:val="22"/>
              </w:rPr>
              <w:t>Miss</w:t>
            </w:r>
          </w:p>
        </w:tc>
      </w:tr>
    </w:tbl>
    <w:p>
      <w:r>
        <w:rPr>
          <w:rFonts w:ascii="Calibri" w:hAnsi="Calibri"/>
          <w:i/>
          <w:color w:val="525866"/>
          <w:sz w:val="22"/>
        </w:rPr>
        <w:t>Source: Visible Alpha Consensus and Actuals Data.</w:t>
      </w:r>
      <w:r>
        <w:rPr>
          <w:rFonts w:ascii="Calibri" w:hAnsi="Calibri"/>
          <w:color w:val="525866"/>
          <w:sz w:val="22"/>
        </w:rPr>
        <w:t xml:space="preserve"> Pattern: SYY has beaten Adj. EPS in 5 of the last 8 quarters and missed in 3 (all in FY2025); USFS local case volume has beaten or matched in 5 of 8 quarters, with the two most recent quarters both beating — a positive trend heading into Q4.</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April 28 Q3 earnings call</w:t>
      </w:r>
      <w:r>
        <w:rPr>
          <w:rFonts w:ascii="Calibri" w:hAnsi="Calibri"/>
          <w:color w:val="525866"/>
          <w:sz w:val="22"/>
        </w:rPr>
        <w:t xml:space="preserve"> — management reiterated FY26 adj. EPS at the high end of $4.50–$4.60 and Q4 local volume ≥2.5%. The May 18 Restaurant Depot investor day provided deal-level detail but did not alter standalone operating guidance; tone remains confident and self-help focused.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28, 2026 Q3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EPS</w:t>
            </w:r>
          </w:p>
        </w:tc>
        <w:tc>
          <w:tcPr>
            <w:tcW w:type="dxa" w:w="1728"/>
          </w:tcPr>
          <w:p>
            <w:r>
              <w:rPr>
                <w:rFonts w:ascii="Calibri" w:hAnsi="Calibri"/>
                <w:sz w:val="22"/>
              </w:rPr>
              <w:t>High end of $4.50–$4.60 range (~$4.60); includes ~$0.16/share incentive comp headwind</w:t>
            </w:r>
          </w:p>
        </w:tc>
        <w:tc>
          <w:tcPr>
            <w:tcW w:type="dxa" w:w="1728"/>
          </w:tcPr>
          <w:p>
            <w:r>
              <w:rPr>
                <w:rFonts w:ascii="Calibri" w:hAnsi="Calibri"/>
                <w:sz w:val="22"/>
              </w:rPr>
              <w:t>—</w:t>
            </w:r>
          </w:p>
        </w:tc>
        <w:tc>
          <w:tcPr>
            <w:tcW w:type="dxa" w:w="1728"/>
          </w:tcPr>
          <w:p>
            <w:r>
              <w:rPr>
                <w:rFonts w:ascii="Calibri" w:hAnsi="Calibri"/>
                <w:sz w:val="22"/>
              </w:rPr>
              <w:t>$4.584</w:t>
            </w:r>
          </w:p>
        </w:tc>
        <w:tc>
          <w:tcPr>
            <w:tcW w:type="dxa" w:w="1728"/>
          </w:tcPr>
          <w:p>
            <w:r>
              <w:rPr>
                <w:rFonts w:ascii="Calibri" w:hAnsi="Calibri"/>
                <w:sz w:val="22"/>
              </w:rPr>
              <w:t>Unchanged; consensus tracking high end of range</w:t>
            </w:r>
          </w:p>
        </w:tc>
      </w:tr>
      <w:tr>
        <w:tc>
          <w:tcPr>
            <w:tcW w:type="dxa" w:w="1728"/>
          </w:tcPr>
          <w:p>
            <w:r>
              <w:rPr>
                <w:rFonts w:ascii="Calibri" w:hAnsi="Calibri"/>
                <w:sz w:val="22"/>
              </w:rPr>
              <w:t>Q4 FY2026 Adj. EPS</w:t>
            </w:r>
          </w:p>
        </w:tc>
        <w:tc>
          <w:tcPr>
            <w:tcW w:type="dxa" w:w="1728"/>
          </w:tcPr>
          <w:p>
            <w:r>
              <w:rPr>
                <w:rFonts w:ascii="Calibri" w:hAnsi="Calibri"/>
                <w:sz w:val="22"/>
              </w:rPr>
              <w:t>~$1.51 (includes $11M incentive comp carryover)</w:t>
            </w:r>
          </w:p>
        </w:tc>
        <w:tc>
          <w:tcPr>
            <w:tcW w:type="dxa" w:w="1728"/>
          </w:tcPr>
          <w:p>
            <w:r>
              <w:rPr>
                <w:rFonts w:ascii="Calibri" w:hAnsi="Calibri"/>
                <w:sz w:val="22"/>
              </w:rPr>
              <w:t>—</w:t>
            </w:r>
          </w:p>
        </w:tc>
        <w:tc>
          <w:tcPr>
            <w:tcW w:type="dxa" w:w="1728"/>
          </w:tcPr>
          <w:p>
            <w:r>
              <w:rPr>
                <w:rFonts w:ascii="Calibri" w:hAnsi="Calibri"/>
                <w:sz w:val="22"/>
              </w:rPr>
              <w:t>$1.51</w:t>
            </w:r>
          </w:p>
        </w:tc>
        <w:tc>
          <w:tcPr>
            <w:tcW w:type="dxa" w:w="1728"/>
          </w:tcPr>
          <w:p>
            <w:r>
              <w:rPr>
                <w:rFonts w:ascii="Calibri" w:hAnsi="Calibri"/>
                <w:sz w:val="22"/>
              </w:rPr>
              <w:t>Unchanged; consensus = guide</w:t>
            </w:r>
          </w:p>
        </w:tc>
      </w:tr>
      <w:tr>
        <w:tc>
          <w:tcPr>
            <w:tcW w:type="dxa" w:w="1728"/>
          </w:tcPr>
          <w:p>
            <w:r>
              <w:rPr>
                <w:rFonts w:ascii="Calibri" w:hAnsi="Calibri"/>
                <w:sz w:val="22"/>
              </w:rPr>
              <w:t>Q4 FY2026 USFS Local Case Volume Growth</w:t>
            </w:r>
          </w:p>
        </w:tc>
        <w:tc>
          <w:tcPr>
            <w:tcW w:type="dxa" w:w="1728"/>
          </w:tcPr>
          <w:p>
            <w:r>
              <w:rPr>
                <w:rFonts w:ascii="Calibri" w:hAnsi="Calibri"/>
                <w:sz w:val="22"/>
              </w:rPr>
              <w:t>≥2.5% (equates to +120 bps acceleration on 2-yr stack vs. Q3)</w:t>
            </w:r>
          </w:p>
        </w:tc>
        <w:tc>
          <w:tcPr>
            <w:tcW w:type="dxa" w:w="1728"/>
          </w:tcPr>
          <w:p>
            <w:r>
              <w:rPr>
                <w:rFonts w:ascii="Calibri" w:hAnsi="Calibri"/>
                <w:sz w:val="22"/>
              </w:rPr>
              <w:t>—</w:t>
            </w:r>
          </w:p>
        </w:tc>
        <w:tc>
          <w:tcPr>
            <w:tcW w:type="dxa" w:w="1728"/>
          </w:tcPr>
          <w:p>
            <w:r>
              <w:rPr>
                <w:rFonts w:ascii="Calibri" w:hAnsi="Calibri"/>
                <w:sz w:val="22"/>
              </w:rPr>
              <w:t>+2.65%</w:t>
            </w:r>
          </w:p>
        </w:tc>
        <w:tc>
          <w:tcPr>
            <w:tcW w:type="dxa" w:w="1728"/>
          </w:tcPr>
          <w:p>
            <w:r>
              <w:rPr>
                <w:rFonts w:ascii="Calibri" w:hAnsi="Calibri"/>
                <w:sz w:val="22"/>
              </w:rPr>
              <w:t>Unchanged; consensus slightly above guide floor</w:t>
            </w:r>
          </w:p>
        </w:tc>
      </w:tr>
      <w:tr>
        <w:tc>
          <w:tcPr>
            <w:tcW w:type="dxa" w:w="1728"/>
          </w:tcPr>
          <w:p>
            <w:r>
              <w:rPr>
                <w:rFonts w:ascii="Calibri" w:hAnsi="Calibri"/>
                <w:sz w:val="22"/>
              </w:rPr>
              <w:t>FY2026 Net Sales</w:t>
            </w:r>
          </w:p>
        </w:tc>
        <w:tc>
          <w:tcPr>
            <w:tcW w:type="dxa" w:w="1728"/>
          </w:tcPr>
          <w:p>
            <w:r>
              <w:rPr>
                <w:rFonts w:ascii="Calibri" w:hAnsi="Calibri"/>
                <w:sz w:val="22"/>
              </w:rPr>
              <w:t>~$84–$85B (+3%–5% YoY); driven by ~2% inflation, volume growth, M&amp;A</w:t>
            </w:r>
          </w:p>
        </w:tc>
        <w:tc>
          <w:tcPr>
            <w:tcW w:type="dxa" w:w="1728"/>
          </w:tcPr>
          <w:p>
            <w:r>
              <w:rPr>
                <w:rFonts w:ascii="Calibri" w:hAnsi="Calibri"/>
                <w:sz w:val="22"/>
              </w:rPr>
              <w:t>—</w:t>
            </w:r>
          </w:p>
        </w:tc>
        <w:tc>
          <w:tcPr>
            <w:tcW w:type="dxa" w:w="1728"/>
          </w:tcPr>
          <w:p>
            <w:r>
              <w:rPr>
                <w:rFonts w:ascii="Calibri" w:hAnsi="Calibri"/>
                <w:sz w:val="22"/>
              </w:rPr>
              <w:t>$84.4B</w:t>
            </w:r>
          </w:p>
        </w:tc>
        <w:tc>
          <w:tcPr>
            <w:tcW w:type="dxa" w:w="1728"/>
          </w:tcPr>
          <w:p>
            <w:r>
              <w:rPr>
                <w:rFonts w:ascii="Calibri" w:hAnsi="Calibri"/>
                <w:sz w:val="22"/>
              </w:rPr>
              <w:t>Unchanged; consensus at low end of range</w:t>
            </w:r>
          </w:p>
        </w:tc>
      </w:tr>
      <w:tr>
        <w:tc>
          <w:tcPr>
            <w:tcW w:type="dxa" w:w="1728"/>
          </w:tcPr>
          <w:p>
            <w:r>
              <w:rPr>
                <w:rFonts w:ascii="Calibri" w:hAnsi="Calibri"/>
                <w:sz w:val="22"/>
              </w:rPr>
              <w:t>FY2026 Dividends</w:t>
            </w:r>
          </w:p>
        </w:tc>
        <w:tc>
          <w:tcPr>
            <w:tcW w:type="dxa" w:w="1728"/>
          </w:tcPr>
          <w:p>
            <w:r>
              <w:rPr>
                <w:rFonts w:ascii="Calibri" w:hAnsi="Calibri"/>
                <w:sz w:val="22"/>
              </w:rPr>
              <w:t>~$1B (~6% per-share increase YoY); Q4 FY27 quarterly dividend raised to $0.55/share</w:t>
            </w:r>
          </w:p>
        </w:tc>
        <w:tc>
          <w:tcPr>
            <w:tcW w:type="dxa" w:w="1728"/>
          </w:tcPr>
          <w:p>
            <w:r>
              <w:rPr>
                <w:rFonts w:ascii="Calibri" w:hAnsi="Calibri"/>
                <w:sz w:val="22"/>
              </w:rPr>
              <w:t>—</w:t>
            </w:r>
          </w:p>
        </w:tc>
        <w:tc>
          <w:tcPr>
            <w:tcW w:type="dxa" w:w="1728"/>
          </w:tcPr>
          <w:p>
            <w:r>
              <w:rPr>
                <w:rFonts w:ascii="Calibri" w:hAnsi="Calibri"/>
                <w:sz w:val="22"/>
              </w:rPr>
              <w:t>N/A (not tracked in VA)</w:t>
            </w:r>
          </w:p>
        </w:tc>
        <w:tc>
          <w:tcPr>
            <w:tcW w:type="dxa" w:w="1728"/>
          </w:tcPr>
          <w:p>
            <w:r>
              <w:rPr>
                <w:rFonts w:ascii="Calibri" w:hAnsi="Calibri"/>
                <w:sz w:val="22"/>
              </w:rPr>
              <w:t>Dividend growth commitment maintained through deleveraging period</w:t>
            </w:r>
          </w:p>
        </w:tc>
      </w:tr>
      <w:tr>
        <w:tc>
          <w:tcPr>
            <w:tcW w:type="dxa" w:w="1728"/>
          </w:tcPr>
          <w:p>
            <w:r>
              <w:rPr>
                <w:rFonts w:ascii="Calibri" w:hAnsi="Calibri"/>
                <w:sz w:val="22"/>
              </w:rPr>
              <w:t>Run-Rate Cost Savings</w:t>
            </w:r>
          </w:p>
        </w:tc>
        <w:tc>
          <w:tcPr>
            <w:tcW w:type="dxa" w:w="1728"/>
          </w:tcPr>
          <w:p>
            <w:r>
              <w:rPr>
                <w:rFonts w:ascii="Calibri" w:hAnsi="Calibri"/>
                <w:sz w:val="22"/>
              </w:rPr>
              <w:t>$60M identified; begins Q4 FY26, carries into 3 quarters of FY27</w:t>
            </w:r>
          </w:p>
        </w:tc>
        <w:tc>
          <w:tcPr>
            <w:tcW w:type="dxa" w:w="1728"/>
          </w:tcPr>
          <w:p>
            <w:r>
              <w:rPr>
                <w:rFonts w:ascii="Calibri" w:hAnsi="Calibri"/>
                <w:sz w:val="22"/>
              </w:rPr>
              <w:t>—</w:t>
            </w:r>
          </w:p>
        </w:tc>
        <w:tc>
          <w:tcPr>
            <w:tcW w:type="dxa" w:w="1728"/>
          </w:tcPr>
          <w:p>
            <w:r>
              <w:rPr>
                <w:rFonts w:ascii="Calibri" w:hAnsi="Calibri"/>
                <w:sz w:val="22"/>
              </w:rPr>
              <w:t>N/A (embedded in EPS guide)</w:t>
            </w:r>
          </w:p>
        </w:tc>
        <w:tc>
          <w:tcPr>
            <w:tcW w:type="dxa" w:w="1728"/>
          </w:tcPr>
          <w:p>
            <w:r>
              <w:rPr>
                <w:rFonts w:ascii="Calibri" w:hAnsi="Calibri"/>
                <w:sz w:val="22"/>
              </w:rPr>
              <w:t>Offsets suspended buyback impact; already in Q4 guide</w:t>
            </w:r>
          </w:p>
        </w:tc>
      </w:tr>
      <w:tr>
        <w:tc>
          <w:tcPr>
            <w:tcW w:type="dxa" w:w="1728"/>
          </w:tcPr>
          <w:p>
            <w:r>
              <w:rPr>
                <w:rFonts w:ascii="Calibri" w:hAnsi="Calibri"/>
                <w:sz w:val="22"/>
              </w:rPr>
              <w:t>Restaurant Depot Close Timeline</w:t>
            </w:r>
          </w:p>
        </w:tc>
        <w:tc>
          <w:tcPr>
            <w:tcW w:type="dxa" w:w="1728"/>
          </w:tcPr>
          <w:p>
            <w:r>
              <w:rPr>
                <w:rFonts w:ascii="Calibri" w:hAnsi="Calibri"/>
                <w:sz w:val="22"/>
              </w:rPr>
              <w:t>Expected by Q3 FY2027; DOJ second request received (expected/normal)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to timeline; management confident in approval given minimal customer overlap</w:t>
            </w:r>
          </w:p>
        </w:tc>
      </w:tr>
    </w:tbl>
    <w:p>
      <w:r>
        <w:rPr>
          <w:rFonts w:ascii="Calibri" w:hAnsi="Calibri"/>
          <w:i/>
          <w:color w:val="525866"/>
          <w:sz w:val="22"/>
        </w:rPr>
        <w:t>Sources: SYY Q3 FY2026 Earnings Call transcript (April 28, 2026); SYY Q3 FY2026 Earnings Release (April 28, 2026); SYY Restaurant Depot Acquisition Investor Event (May 18, 2026);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w:t>
      </w:r>
      <w:r>
        <w:rPr>
          <w:rFonts w:ascii="Calibri" w:hAnsi="Calibri"/>
          <w:color w:val="525866"/>
          <w:sz w:val="22"/>
        </w:rPr>
        <w:t xml:space="preserve"> since the Q3 print — Q4 EPS consensus has barely moved from the post-earnings baseline, and FY2026 EPS is tracking exactly at the high end of guidance. The flat revision trajectory confirms the Street is treating management's explicit guide as the anchor, with no incremental upside being priced in — a setup that rewards execution rather than estimate drift.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(as of May 5,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28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Q4 FY2026</w:t>
            </w:r>
          </w:p>
        </w:tc>
        <w:tc>
          <w:tcPr>
            <w:tcW w:type="dxa" w:w="1080"/>
          </w:tcPr>
          <w:p>
            <w:r>
              <w:rPr>
                <w:rFonts w:ascii="Calibri" w:hAnsi="Calibri"/>
                <w:sz w:val="22"/>
              </w:rPr>
              <w:t>$1.513</w:t>
            </w:r>
          </w:p>
        </w:tc>
        <w:tc>
          <w:tcPr>
            <w:tcW w:type="dxa" w:w="1080"/>
          </w:tcPr>
          <w:p>
            <w:r>
              <w:rPr>
                <w:rFonts w:ascii="Calibri" w:hAnsi="Calibri"/>
                <w:sz w:val="22"/>
              </w:rPr>
              <w:t>$1.51</w:t>
            </w:r>
          </w:p>
        </w:tc>
        <w:tc>
          <w:tcPr>
            <w:tcW w:type="dxa" w:w="1080"/>
          </w:tcPr>
          <w:p>
            <w:r>
              <w:rPr>
                <w:rFonts w:ascii="Calibri" w:hAnsi="Calibri"/>
                <w:sz w:val="22"/>
              </w:rPr>
              <w:t>−0.2%</w:t>
            </w:r>
          </w:p>
        </w:tc>
        <w:tc>
          <w:tcPr>
            <w:tcW w:type="dxa" w:w="1080"/>
          </w:tcPr>
          <w:p>
            <w:r>
              <w:rPr>
                <w:rFonts w:ascii="Calibri" w:hAnsi="Calibri"/>
                <w:sz w:val="22"/>
              </w:rPr>
              <w:t>~$1.51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 (at guide)</w:t>
            </w:r>
          </w:p>
        </w:tc>
      </w:tr>
      <w:tr>
        <w:tc>
          <w:tcPr>
            <w:tcW w:type="dxa" w:w="1080"/>
          </w:tcPr>
          <w:p>
            <w:r>
              <w:rPr>
                <w:rFonts w:ascii="Calibri" w:hAnsi="Calibri"/>
                <w:sz w:val="22"/>
              </w:rPr>
              <w:t>Adj. EPS — FY2026</w:t>
            </w:r>
          </w:p>
        </w:tc>
        <w:tc>
          <w:tcPr>
            <w:tcW w:type="dxa" w:w="1080"/>
          </w:tcPr>
          <w:p>
            <w:r>
              <w:rPr>
                <w:rFonts w:ascii="Calibri" w:hAnsi="Calibri"/>
                <w:sz w:val="22"/>
              </w:rPr>
              <w:t>$4.591</w:t>
            </w:r>
          </w:p>
        </w:tc>
        <w:tc>
          <w:tcPr>
            <w:tcW w:type="dxa" w:w="1080"/>
          </w:tcPr>
          <w:p>
            <w:r>
              <w:rPr>
                <w:rFonts w:ascii="Calibri" w:hAnsi="Calibri"/>
                <w:sz w:val="22"/>
              </w:rPr>
              <w:t>$4.584</w:t>
            </w:r>
          </w:p>
        </w:tc>
        <w:tc>
          <w:tcPr>
            <w:tcW w:type="dxa" w:w="1080"/>
          </w:tcPr>
          <w:p>
            <w:r>
              <w:rPr>
                <w:rFonts w:ascii="Calibri" w:hAnsi="Calibri"/>
                <w:sz w:val="22"/>
              </w:rPr>
              <w:t>−0.2%</w:t>
            </w:r>
          </w:p>
        </w:tc>
        <w:tc>
          <w:tcPr>
            <w:tcW w:type="dxa" w:w="1080"/>
          </w:tcPr>
          <w:p>
            <w:r>
              <w:rPr>
                <w:rFonts w:ascii="Calibri" w:hAnsi="Calibri"/>
                <w:sz w:val="22"/>
              </w:rPr>
              <w:t>High end of $4.50–$4.60 (~$4.60)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(just below high end)</w:t>
            </w:r>
          </w:p>
        </w:tc>
      </w:tr>
      <w:tr>
        <w:tc>
          <w:tcPr>
            <w:tcW w:type="dxa" w:w="1080"/>
          </w:tcPr>
          <w:p>
            <w:r>
              <w:rPr>
                <w:rFonts w:ascii="Calibri" w:hAnsi="Calibri"/>
                <w:sz w:val="22"/>
              </w:rPr>
              <w:t>Adj. EPS — FY2027</w:t>
            </w:r>
          </w:p>
        </w:tc>
        <w:tc>
          <w:tcPr>
            <w:tcW w:type="dxa" w:w="1080"/>
          </w:tcPr>
          <w:p>
            <w:r>
              <w:rPr>
                <w:rFonts w:ascii="Calibri" w:hAnsi="Calibri"/>
                <w:sz w:val="22"/>
              </w:rPr>
              <w:t>$4.948</w:t>
            </w:r>
          </w:p>
        </w:tc>
        <w:tc>
          <w:tcPr>
            <w:tcW w:type="dxa" w:w="1080"/>
          </w:tcPr>
          <w:p>
            <w:r>
              <w:rPr>
                <w:rFonts w:ascii="Calibri" w:hAnsi="Calibri"/>
                <w:sz w:val="22"/>
              </w:rPr>
              <w:t>$4.929</w:t>
            </w:r>
          </w:p>
        </w:tc>
        <w:tc>
          <w:tcPr>
            <w:tcW w:type="dxa" w:w="1080"/>
          </w:tcPr>
          <w:p>
            <w:r>
              <w:rPr>
                <w:rFonts w:ascii="Calibri" w:hAnsi="Calibri"/>
                <w:sz w:val="22"/>
              </w:rPr>
              <w:t>−0.4%</w:t>
            </w:r>
          </w:p>
        </w:tc>
        <w:tc>
          <w:tcPr>
            <w:tcW w:type="dxa" w:w="1080"/>
          </w:tcPr>
          <w:p>
            <w:r>
              <w:rPr>
                <w:rFonts w:ascii="Calibri" w:hAnsi="Calibri"/>
                <w:sz w:val="22"/>
              </w:rPr>
              <w:t>No FY27 guidance provided yet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Q4 FY2026</w:t>
            </w:r>
          </w:p>
        </w:tc>
        <w:tc>
          <w:tcPr>
            <w:tcW w:type="dxa" w:w="1080"/>
          </w:tcPr>
          <w:p>
            <w:r>
              <w:rPr>
                <w:rFonts w:ascii="Calibri" w:hAnsi="Calibri"/>
                <w:sz w:val="22"/>
              </w:rPr>
              <w:t>$21.942B</w:t>
            </w:r>
          </w:p>
        </w:tc>
        <w:tc>
          <w:tcPr>
            <w:tcW w:type="dxa" w:w="1080"/>
          </w:tcPr>
          <w:p>
            <w:r>
              <w:rPr>
                <w:rFonts w:ascii="Calibri" w:hAnsi="Calibri"/>
                <w:sz w:val="22"/>
              </w:rPr>
              <w:t>$21.944B</w:t>
            </w:r>
          </w:p>
        </w:tc>
        <w:tc>
          <w:tcPr>
            <w:tcW w:type="dxa" w:w="1080"/>
          </w:tcPr>
          <w:p>
            <w:r>
              <w:rPr>
                <w:rFonts w:ascii="Calibri" w:hAnsi="Calibri"/>
                <w:sz w:val="22"/>
              </w:rPr>
              <w:t>+0.0%</w:t>
            </w:r>
          </w:p>
        </w:tc>
        <w:tc>
          <w:tcPr>
            <w:tcW w:type="dxa" w:w="1080"/>
          </w:tcPr>
          <w:p>
            <w:r>
              <w:rPr>
                <w:rFonts w:ascii="Calibri" w:hAnsi="Calibri"/>
                <w:sz w:val="22"/>
              </w:rPr>
              <w:t>~$84–$85B FY (implies ~$21.9B Q4)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implied midpoint</w:t>
            </w:r>
          </w:p>
        </w:tc>
      </w:tr>
      <w:tr>
        <w:tc>
          <w:tcPr>
            <w:tcW w:type="dxa" w:w="1080"/>
          </w:tcPr>
          <w:p>
            <w:r>
              <w:rPr>
                <w:rFonts w:ascii="Calibri" w:hAnsi="Calibri"/>
                <w:sz w:val="22"/>
              </w:rPr>
              <w:t>Revenue — FY2026</w:t>
            </w:r>
          </w:p>
        </w:tc>
        <w:tc>
          <w:tcPr>
            <w:tcW w:type="dxa" w:w="1080"/>
          </w:tcPr>
          <w:p>
            <w:r>
              <w:rPr>
                <w:rFonts w:ascii="Calibri" w:hAnsi="Calibri"/>
                <w:sz w:val="22"/>
              </w:rPr>
              <w:t>$84.371B</w:t>
            </w:r>
          </w:p>
        </w:tc>
        <w:tc>
          <w:tcPr>
            <w:tcW w:type="dxa" w:w="1080"/>
          </w:tcPr>
          <w:p>
            <w:r>
              <w:rPr>
                <w:rFonts w:ascii="Calibri" w:hAnsi="Calibri"/>
                <w:sz w:val="22"/>
              </w:rPr>
              <w:t>$84.365B</w:t>
            </w:r>
          </w:p>
        </w:tc>
        <w:tc>
          <w:tcPr>
            <w:tcW w:type="dxa" w:w="1080"/>
          </w:tcPr>
          <w:p>
            <w:r>
              <w:rPr>
                <w:rFonts w:ascii="Calibri" w:hAnsi="Calibri"/>
                <w:sz w:val="22"/>
              </w:rPr>
              <w:t>−0.0%</w:t>
            </w:r>
          </w:p>
        </w:tc>
        <w:tc>
          <w:tcPr>
            <w:tcW w:type="dxa" w:w="1080"/>
          </w:tcPr>
          <w:p>
            <w:r>
              <w:rPr>
                <w:rFonts w:ascii="Calibri" w:hAnsi="Calibri"/>
                <w:sz w:val="22"/>
              </w:rPr>
              <w:t>$84–$85B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USFS Local Case Vol. Growth — Q4 FY2026</w:t>
            </w:r>
          </w:p>
        </w:tc>
        <w:tc>
          <w:tcPr>
            <w:tcW w:type="dxa" w:w="1080"/>
          </w:tcPr>
          <w:p>
            <w:r>
              <w:rPr>
                <w:rFonts w:ascii="Calibri" w:hAnsi="Calibri"/>
                <w:sz w:val="22"/>
              </w:rPr>
              <w:t>+2.62%</w:t>
            </w:r>
          </w:p>
        </w:tc>
        <w:tc>
          <w:tcPr>
            <w:tcW w:type="dxa" w:w="1080"/>
          </w:tcPr>
          <w:p>
            <w:r>
              <w:rPr>
                <w:rFonts w:ascii="Calibri" w:hAnsi="Calibri"/>
                <w:sz w:val="22"/>
              </w:rPr>
              <w:t>+2.65%</w:t>
            </w:r>
          </w:p>
        </w:tc>
        <w:tc>
          <w:tcPr>
            <w:tcW w:type="dxa" w:w="1080"/>
          </w:tcPr>
          <w:p>
            <w:r>
              <w:rPr>
                <w:rFonts w:ascii="Calibri" w:hAnsi="Calibri"/>
                <w:sz w:val="22"/>
              </w:rPr>
              <w:t>+0.1%</w:t>
            </w:r>
          </w:p>
        </w:tc>
        <w:tc>
          <w:tcPr>
            <w:tcW w:type="dxa" w:w="1080"/>
          </w:tcPr>
          <w:p>
            <w:r>
              <w:rPr>
                <w:rFonts w:ascii="Calibri" w:hAnsi="Calibri"/>
                <w:sz w:val="22"/>
              </w:rPr>
              <w:t>≥2.5%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bps above floor</w:t>
            </w:r>
          </w:p>
        </w:tc>
      </w:tr>
    </w:tbl>
    <w:p>
      <w:r>
        <w:rPr>
          <w:rFonts w:ascii="Calibri" w:hAnsi="Calibri"/>
          <w:i/>
          <w:color w:val="525866"/>
          <w:sz w:val="22"/>
        </w:rPr>
        <w:t>Source: Visible Alpha Consensus and Actuals Data (all estimate figures); SYY Q3 FY2026 Earnings Call (April 28, 2026) for guidance figures.</w:t>
      </w:r>
      <w:r>
        <w:rPr>
          <w:rFonts w:ascii="Calibri" w:hAnsi="Calibri"/>
          <w:color w:val="525866"/>
          <w:sz w:val="22"/>
        </w:rPr>
        <w:t xml:space="preserve"> Estimates have been essentially flat since the Q3 print, confirming the Street is anchored to management's explicit guide rather than building in incremental upside. The only meaningful revision risk is to the upside if Q4 local volume prints above 3%.</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SYY's +16% recovery from its post-deal trough has been driven almost entirely by </w:t>
      </w:r>
      <w:r>
        <w:rPr>
          <w:rFonts w:ascii="Calibri" w:hAnsi="Calibri"/>
          <w:b/>
          <w:color w:val="525866"/>
          <w:sz w:val="22"/>
        </w:rPr>
        <w:t>multiple re-expansion</w:t>
      </w:r>
      <w:r>
        <w:rPr>
          <w:rFonts w:ascii="Calibri" w:hAnsi="Calibri"/>
          <w:color w:val="525866"/>
          <w:sz w:val="22"/>
        </w:rPr>
        <w:t xml:space="preserve"> (+8.7% on EV/EBITDA over 3 months) as investors grew more comfortable with the Restaurant Depot acquisition rationale — not by estimate revisions, which have been flat. The stock has outperformed XLP meaningfully over the past 3 months but remains a slight laggard vs. the S&amp;P 500 since the Q3 earnings date.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SYY vs. XLP vs. S&amp;P 500 — Indexed to 100 at Q3 FY2026 Earnings Date (April 28, 2026). Source: Yahoo Finance / Stock Price Data.</w:t>
      </w:r>
    </w:p>
    <w:p>
      <w:r>
        <w:rPr>
          <w:rFonts w:ascii="Calibri" w:hAnsi="Calibri"/>
          <w:b/>
          <w:color w:val="525866"/>
          <w:sz w:val="22"/>
        </w:rPr>
        <w:t>Key events since April 28, 2026:</w:t>
      </w:r>
    </w:p>
    <w:p>
      <w:pPr>
        <w:pStyle w:val="ListBullet"/>
        <w:ind w:left="360" w:hanging="360"/>
      </w:pPr>
      <w:r>
        <w:rPr>
          <w:rFonts w:ascii="Calibri" w:hAnsi="Calibri"/>
          <w:b/>
          <w:color w:val="525866"/>
          <w:sz w:val="22"/>
        </w:rPr>
        <w:t>April 28, 2026:</w:t>
      </w:r>
      <w:r>
        <w:rPr>
          <w:rFonts w:ascii="Calibri" w:hAnsi="Calibri"/>
          <w:color w:val="525866"/>
          <w:sz w:val="22"/>
        </w:rPr>
        <w:t xml:space="preserve"> Q3 FY2026 earnings — stock opened lower (deal overhang) but recovered intraday; SYY closed at $73.37 vs. $75.36 the prior day.</w:t>
      </w:r>
    </w:p>
    <w:p>
      <w:pPr>
        <w:pStyle w:val="ListBullet"/>
        <w:ind w:left="360" w:hanging="360"/>
      </w:pPr>
      <w:r>
        <w:rPr>
          <w:rFonts w:ascii="Calibri" w:hAnsi="Calibri"/>
          <w:b/>
          <w:color w:val="525866"/>
          <w:sz w:val="22"/>
        </w:rPr>
        <w:t>May 18, 2026:</w:t>
      </w:r>
      <w:r>
        <w:rPr>
          <w:rFonts w:ascii="Calibri" w:hAnsi="Calibri"/>
          <w:color w:val="525866"/>
          <w:sz w:val="22"/>
        </w:rPr>
        <w:t xml:space="preserve"> Restaurant Depot Acquisition Investor Day — stock rallied ~+2.3% as investors digested deal financials and synergy detail for the first time.</w:t>
      </w:r>
    </w:p>
    <w:p>
      <w:pPr>
        <w:pStyle w:val="ListBullet"/>
        <w:ind w:left="360" w:hanging="360"/>
      </w:pPr>
      <w:r>
        <w:rPr>
          <w:rFonts w:ascii="Calibri" w:hAnsi="Calibri"/>
          <w:b/>
          <w:color w:val="525866"/>
          <w:sz w:val="22"/>
        </w:rPr>
        <w:t>Late May – June 2026:</w:t>
      </w:r>
      <w:r>
        <w:rPr>
          <w:rFonts w:ascii="Calibri" w:hAnsi="Calibri"/>
          <w:color w:val="525866"/>
          <w:sz w:val="22"/>
        </w:rPr>
        <w:t xml:space="preserve"> Steady re-rating higher as deal concerns faded; SYY outperformed XLP by ~+8 percentage points over this window.</w:t>
      </w:r>
    </w:p>
    <w:p>
      <w:pPr>
        <w:pStyle w:val="ListBullet"/>
        <w:ind w:left="360" w:hanging="360"/>
      </w:pPr>
      <w:r>
        <w:rPr>
          <w:rFonts w:ascii="Calibri" w:hAnsi="Calibri"/>
          <w:b/>
          <w:color w:val="525866"/>
          <w:sz w:val="22"/>
        </w:rPr>
        <w:t>July 1, 2026:</w:t>
      </w:r>
      <w:r>
        <w:rPr>
          <w:rFonts w:ascii="Calibri" w:hAnsi="Calibri"/>
          <w:color w:val="525866"/>
          <w:sz w:val="22"/>
        </w:rPr>
        <w:t xml:space="preserve"> Sysco unit filed S-4 for merger-related share issuance — no material stock reaction; confirms deal process on track.</w:t>
      </w:r>
    </w:p>
    <w:p>
      <w:r>
        <w:rPr>
          <w:rFonts w:ascii="Calibri" w:hAnsi="Calibri"/>
          <w:b/>
          <w:color w:val="525866"/>
          <w:sz w:val="22"/>
        </w:rPr>
        <w:t>Valuation context (as of August 3, 2026):</w:t>
      </w:r>
      <w:r>
        <w:rPr>
          <w:rFonts w:ascii="Calibri" w:hAnsi="Calibri"/>
          <w:i/>
          <w:color w:val="525866"/>
          <w:sz w:val="22"/>
        </w:rPr>
        <w:t xml:space="preserve"> NTM EV/EBITDA = 11.33x (vs. 10.42x three months ago, +8.7% multiple expansion); NTM P/E = 17.19x. The 3-month price return of +14.8% was almost entirely multiple-driven (+8.7% EV/EBITDA expansion) with minimal contribution from estimate revisions. Source: Implied Stock Performance Decomposition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Q3 print is the </w:t>
      </w:r>
      <w:r>
        <w:rPr>
          <w:rFonts w:ascii="Calibri" w:hAnsi="Calibri"/>
          <w:b/>
          <w:color w:val="525866"/>
          <w:sz w:val="22"/>
        </w:rPr>
        <w:t>DOJ second request on the Restaurant Depot acquisition</w:t>
      </w:r>
      <w:r>
        <w:rPr>
          <w:rFonts w:ascii="Calibri" w:hAnsi="Calibri"/>
          <w:color w:val="525866"/>
          <w:sz w:val="22"/>
        </w:rPr>
        <w:t xml:space="preserve"> — expected by management and consistent with the ~1-year close timeline, but a source of ongoing regulatory uncertainty that could dominate the Q4 call narrative.</w:t>
      </w:r>
    </w:p>
    <w:p>
      <w:pPr>
        <w:pStyle w:val="ListBullet"/>
        <w:ind w:left="360" w:hanging="360"/>
      </w:pPr>
      <w:r>
        <w:rPr>
          <w:rFonts w:ascii="Calibri" w:hAnsi="Calibri"/>
          <w:b/>
          <w:color w:val="525866"/>
          <w:sz w:val="22"/>
        </w:rPr>
        <w:t>May 18, 2026 — Restaurant Depot Acquisition Investor Day:</w:t>
      </w:r>
      <w:r>
        <w:rPr>
          <w:rFonts w:ascii="Calibri" w:hAnsi="Calibri"/>
          <w:color w:val="525866"/>
          <w:sz w:val="22"/>
        </w:rPr>
        <w:t xml:space="preserve"> Sysco hosted a dedicated investor event to present the full financial profile of Jetro Restaurant Depot for the first time (privately held, so previously opaque). Key disclosures: ~$16B revenue, ~$2B EBITDA at 13% margin, &lt;1% CapEx/sales, ~$1.9B unlevered FCF. Management stated revenue synergies are believed to be "as big, if not bigger" than the $250M cost synergy figure from an EBIT contribution perspective. </w:t>
      </w:r>
    </w:p>
    <w:p>
      <w:pPr>
        <w:pStyle w:val="ListBullet"/>
        <w:ind w:left="360" w:hanging="360"/>
      </w:pPr>
      <w:r>
        <w:rPr>
          <w:rFonts w:ascii="Calibri" w:hAnsi="Calibri"/>
          <w:b/>
          <w:color w:val="525866"/>
          <w:sz w:val="22"/>
        </w:rPr>
        <w:t>Implication:</w:t>
      </w:r>
      <w:r>
        <w:rPr>
          <w:rFonts w:ascii="Calibri" w:hAnsi="Calibri"/>
          <w:color w:val="525866"/>
          <w:sz w:val="22"/>
        </w:rPr>
        <w:t xml:space="preserve"> Investor reception was positive; stock rallied ~+2.3% on the day. The event materially reduced information asymmetry around the deal asset.</w:t>
      </w:r>
    </w:p>
    <w:p>
      <w:pPr>
        <w:pStyle w:val="ListBullet"/>
        <w:ind w:left="360" w:hanging="360"/>
      </w:pPr>
      <w:r>
        <w:rPr>
          <w:rFonts w:ascii="Calibri" w:hAnsi="Calibri"/>
          <w:b/>
          <w:color w:val="525866"/>
          <w:sz w:val="22"/>
        </w:rPr>
        <w:t>May 18, 2026 — DOJ Second Request (disclosed at investor day):</w:t>
      </w:r>
      <w:r>
        <w:rPr>
          <w:rFonts w:ascii="Calibri" w:hAnsi="Calibri"/>
          <w:color w:val="525866"/>
          <w:sz w:val="22"/>
        </w:rPr>
        <w:t xml:space="preserve"> The Department of Justice issued a second request for information related to the Restaurant Depot acquisition. Management described this as expected and consistent with the previously communicated ~1-year close timeline (targeted Q3 FY2027). External opposition has mounted from the Independent Restaurant Coalition, the American Economic Liberties Project, and state officials urging the FTC to block the transaction.</w:t>
      </w:r>
    </w:p>
    <w:p>
      <w:pPr>
        <w:pStyle w:val="ListBullet"/>
        <w:ind w:left="360" w:hanging="360"/>
      </w:pPr>
      <w:r>
        <w:rPr>
          <w:rFonts w:ascii="Calibri" w:hAnsi="Calibri"/>
          <w:b/>
          <w:color w:val="525866"/>
          <w:sz w:val="22"/>
        </w:rPr>
        <w:t>Implication:</w:t>
      </w:r>
      <w:r>
        <w:rPr>
          <w:rFonts w:ascii="Calibri" w:hAnsi="Calibri"/>
          <w:color w:val="525866"/>
          <w:sz w:val="22"/>
        </w:rPr>
        <w:t xml:space="preserve"> Regulatory risk is the primary overhang on the stock. Management expressed confidence given minimal customer overlap between the two businesses, but the outcome remains binary.</w:t>
      </w:r>
    </w:p>
    <w:p>
      <w:pPr>
        <w:pStyle w:val="ListBullet"/>
        <w:ind w:left="360" w:hanging="360"/>
      </w:pPr>
      <w:r>
        <w:rPr>
          <w:rFonts w:ascii="Calibri" w:hAnsi="Calibri"/>
          <w:b/>
          <w:color w:val="525866"/>
          <w:sz w:val="22"/>
        </w:rPr>
        <w:t>July 1, 2026 — S-4 Registration Statement Filed:</w:t>
      </w:r>
      <w:r>
        <w:rPr>
          <w:rFonts w:ascii="Calibri" w:hAnsi="Calibri"/>
          <w:color w:val="525866"/>
          <w:sz w:val="22"/>
        </w:rPr>
        <w:t xml:space="preserve"> Sysco's unit filed an S-4 with the SEC for merger-related share issuance (~91.5M shares of Sysco stock as part of the $29.1B deal consideration). No material stock reaction.</w:t>
      </w:r>
    </w:p>
    <w:p>
      <w:pPr>
        <w:pStyle w:val="ListBullet"/>
        <w:ind w:left="360" w:hanging="360"/>
      </w:pPr>
      <w:r>
        <w:rPr>
          <w:rFonts w:ascii="Calibri" w:hAnsi="Calibri"/>
          <w:b/>
          <w:color w:val="525866"/>
          <w:sz w:val="22"/>
        </w:rPr>
        <w:t>Implication:</w:t>
      </w:r>
      <w:r>
        <w:rPr>
          <w:rFonts w:ascii="Calibri" w:hAnsi="Calibri"/>
          <w:color w:val="525866"/>
          <w:sz w:val="22"/>
        </w:rPr>
        <w:t xml:space="preserve"> Deal process is on track; S-4 filing is a required procedural step toward close.</w:t>
      </w:r>
    </w:p>
    <w:p>
      <w:pPr>
        <w:pStyle w:val="ListBullet"/>
        <w:ind w:left="360" w:hanging="360"/>
      </w:pPr>
      <w:r>
        <w:rPr>
          <w:rFonts w:ascii="Calibri" w:hAnsi="Calibri"/>
          <w:b/>
          <w:color w:val="525866"/>
          <w:sz w:val="22"/>
        </w:rPr>
        <w:t>April 28, 2026 — $60M Run-Rate Cost Savings Initiative Announced:</w:t>
      </w:r>
      <w:r>
        <w:rPr>
          <w:rFonts w:ascii="Calibri" w:hAnsi="Calibri"/>
          <w:color w:val="525866"/>
          <w:sz w:val="22"/>
        </w:rPr>
        <w:t xml:space="preserve"> Management identified and actioned $60M of run-rate cost savings through organization-wide spending optimization. Savings begin in Q4 FY2026 and carry over into three quarters of FY2027. Already embedded in Q4 EPS guidance.</w:t>
      </w:r>
    </w:p>
    <w:p>
      <w:pPr>
        <w:pStyle w:val="ListBullet"/>
        <w:ind w:left="360" w:hanging="360"/>
      </w:pPr>
      <w:r>
        <w:rPr>
          <w:rFonts w:ascii="Calibri" w:hAnsi="Calibri"/>
          <w:b/>
          <w:color w:val="525866"/>
          <w:sz w:val="22"/>
        </w:rPr>
        <w:t>Implication:</w:t>
      </w:r>
      <w:r>
        <w:rPr>
          <w:rFonts w:ascii="Calibri" w:hAnsi="Calibri"/>
          <w:color w:val="525866"/>
          <w:sz w:val="22"/>
        </w:rPr>
        <w:t xml:space="preserve"> Provides a partial offset to the ~$800M suspended buyback program; confirms management's focus on cash preservation ahead of deal close.</w:t>
      </w:r>
    </w:p>
    <w:p>
      <w:pPr>
        <w:pStyle w:val="ListBullet"/>
        <w:ind w:left="360" w:hanging="360"/>
      </w:pPr>
      <w:r>
        <w:rPr>
          <w:rFonts w:ascii="Calibri" w:hAnsi="Calibri"/>
          <w:b/>
          <w:color w:val="525866"/>
          <w:sz w:val="22"/>
        </w:rPr>
        <w:t>April 28, 2026 — CFO Transition Ongoing:</w:t>
      </w:r>
      <w:r>
        <w:rPr>
          <w:rFonts w:ascii="Calibri" w:hAnsi="Calibri"/>
          <w:color w:val="525866"/>
          <w:sz w:val="22"/>
        </w:rPr>
        <w:t xml:space="preserve"> Brandon Sewell continues as Interim CFO following the departure of Kenny Cheung in early March 2026. No permanent CFO announced as of the preparation date.</w:t>
      </w:r>
    </w:p>
    <w:p>
      <w:pPr>
        <w:pStyle w:val="ListBullet"/>
        <w:ind w:left="360" w:hanging="360"/>
      </w:pPr>
      <w:r>
        <w:rPr>
          <w:rFonts w:ascii="Calibri" w:hAnsi="Calibri"/>
          <w:b/>
          <w:color w:val="525866"/>
          <w:sz w:val="22"/>
        </w:rPr>
        <w:t>Implication:</w:t>
      </w:r>
      <w:r>
        <w:rPr>
          <w:rFonts w:ascii="Calibri" w:hAnsi="Calibri"/>
          <w:color w:val="525866"/>
          <w:sz w:val="22"/>
        </w:rPr>
        <w:t xml:space="preserve"> Leadership continuity risk; investors will watch for any permanent CFO announcement on the Q4 call.</w:t>
      </w:r>
    </w:p>
    <w:p>
      <w:pPr>
        <w:pStyle w:val="ListBullet"/>
        <w:ind w:left="360" w:hanging="360"/>
      </w:pPr>
      <w:r>
        <w:rPr>
          <w:rFonts w:ascii="Calibri" w:hAnsi="Calibri"/>
          <w:b/>
          <w:color w:val="525866"/>
          <w:sz w:val="22"/>
        </w:rPr>
        <w:t>April 28, 2026 — Share Repurchase Suspended:</w:t>
      </w:r>
      <w:r>
        <w:rPr>
          <w:rFonts w:ascii="Calibri" w:hAnsi="Calibri"/>
          <w:color w:val="525866"/>
          <w:sz w:val="22"/>
        </w:rPr>
        <w:t xml:space="preserve"> Sysco suspended ~$800M of anticipated FY2026 share repurchases to preserve cash ahead of the Restaurant Depot close. Management reiterated FY2026 adj. EPS guidance despite the suspension, citing the $60M cost savings initiative as an offset.</w:t>
      </w:r>
    </w:p>
    <w:p>
      <w:pPr>
        <w:pStyle w:val="ListBullet"/>
        <w:ind w:left="360" w:hanging="360"/>
      </w:pPr>
      <w:r>
        <w:rPr>
          <w:rFonts w:ascii="Calibri" w:hAnsi="Calibri"/>
          <w:b/>
          <w:color w:val="525866"/>
          <w:sz w:val="22"/>
        </w:rPr>
        <w:t>Implication:</w:t>
      </w:r>
      <w:r>
        <w:rPr>
          <w:rFonts w:ascii="Calibri" w:hAnsi="Calibri"/>
          <w:color w:val="525866"/>
          <w:sz w:val="22"/>
        </w:rPr>
        <w:t xml:space="preserve"> Removes a meaningful EPS tailwind; the $800M buyback would have been worth ~$0.10 to annualized adj. EPS.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Only one open-market transaction was recorded in the last 60 days — a </w:t>
      </w:r>
      <w:r>
        <w:rPr>
          <w:rFonts w:ascii="Calibri" w:hAnsi="Calibri"/>
          <w:b/>
          <w:color w:val="525866"/>
          <w:sz w:val="22"/>
        </w:rPr>
        <w:t>director open-market purchase of ~$1.1M</w:t>
      </w:r>
      <w:r>
        <w:rPr>
          <w:rFonts w:ascii="Calibri" w:hAnsi="Calibri"/>
          <w:color w:val="525866"/>
          <w:sz w:val="22"/>
        </w:rPr>
        <w:t xml:space="preserve"> on May 26, 2026. A single director buy is a modestly positive signal but not a strong cluster; the absence of executive-level buying or selling is notable given the pending acquisition.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John M. Hinshaw</w:t>
            </w:r>
          </w:p>
        </w:tc>
        <w:tc>
          <w:tcPr>
            <w:tcW w:type="dxa" w:w="1234"/>
          </w:tcPr>
          <w:p>
            <w:r>
              <w:rPr>
                <w:rFonts w:ascii="Calibri" w:hAnsi="Calibri"/>
                <w:sz w:val="22"/>
              </w:rPr>
              <w:t>Director</w:t>
            </w:r>
          </w:p>
        </w:tc>
        <w:tc>
          <w:tcPr>
            <w:tcW w:type="dxa" w:w="1234"/>
          </w:tcPr>
          <w:p>
            <w:r>
              <w:rPr>
                <w:rFonts w:ascii="Calibri" w:hAnsi="Calibri"/>
                <w:sz w:val="22"/>
              </w:rPr>
              <w:t>Open Market Buy</w:t>
            </w:r>
          </w:p>
        </w:tc>
        <w:tc>
          <w:tcPr>
            <w:tcW w:type="dxa" w:w="1234"/>
          </w:tcPr>
          <w:p>
            <w:r>
              <w:rPr>
                <w:rFonts w:ascii="Calibri" w:hAnsi="Calibri"/>
                <w:sz w:val="22"/>
              </w:rPr>
              <w:t>13,304</w:t>
            </w:r>
          </w:p>
        </w:tc>
        <w:tc>
          <w:tcPr>
            <w:tcW w:type="dxa" w:w="1234"/>
          </w:tcPr>
          <w:p>
            <w:r>
              <w:rPr>
                <w:rFonts w:ascii="Calibri" w:hAnsi="Calibri"/>
                <w:sz w:val="22"/>
              </w:rPr>
              <w:t>~$1.1M (at ~$82/share)</w:t>
            </w:r>
          </w:p>
        </w:tc>
        <w:tc>
          <w:tcPr>
            <w:tcW w:type="dxa" w:w="1234"/>
          </w:tcPr>
          <w:p>
            <w:r>
              <w:rPr>
                <w:rFonts w:ascii="Calibri" w:hAnsi="Calibri"/>
                <w:sz w:val="22"/>
              </w:rPr>
              <w:t>May 26, 2026</w:t>
            </w:r>
          </w:p>
        </w:tc>
        <w:tc>
          <w:tcPr>
            <w:tcW w:type="dxa" w:w="1234"/>
          </w:tcPr>
          <w:p>
            <w:r>
              <w:rPr>
                <w:rFonts w:ascii="Calibri" w:hAnsi="Calibri"/>
                <w:sz w:val="22"/>
              </w:rPr>
              <w:t>Discretionary; not a 10b5-1 plan. Post-purchase holdings: 40,200 shares. Filed May 27, 2026.</w:t>
            </w:r>
          </w:p>
        </w:tc>
      </w:tr>
    </w:tbl>
    <w:p>
      <w:r>
        <w:rPr>
          <w:rFonts w:ascii="Calibri" w:hAnsi="Calibri"/>
          <w:i/>
          <w:color w:val="525866"/>
          <w:sz w:val="22"/>
        </w:rPr>
        <w:t>Source: SEC Form 4 Filings Database (Insider Transaction Data). Filing link: https://www.sec.gov/Archives/edgar/data/96021/000153478726000006/xslF345X06/wk-form4_1779914369.xml</w:t>
      </w:r>
    </w:p>
    <w:p>
      <w:r>
        <w:rPr>
          <w:rFonts w:ascii="Calibri" w:hAnsi="Calibri"/>
          <w:color w:val="525866"/>
          <w:sz w:val="22"/>
        </w:rPr>
        <w:t>No executive-level (CEO, CFO, COO) open-market transactions were recorded in the 60-day window. The absence of insider selling ahead of earnings is consistent with management's confident tone on the Q3 call. The single director buy at ~$82/share (stock now ~$85) suggests the director viewed the post-deal-announcement dip as an attractive entry point.</w:t>
      </w:r>
    </w:p>
    <w:p>
      <w:r>
        <w:br w:type="page"/>
      </w:r>
    </w:p>
    <w:p>
      <w:pPr>
        <w:pStyle w:val="Heading2"/>
      </w:pPr>
      <w:r>
        <w:rPr>
          <w:rFonts w:ascii="Calibri" w:hAnsi="Calibri"/>
          <w:b/>
          <w:color w:val="3B4259"/>
          <w:sz w:val="28"/>
        </w:rPr>
        <w:t>8. Peer Commentary: Current-Quarter Read-Throughs</w:t>
      </w:r>
    </w:p>
    <w:p>
      <w:r>
        <w:rPr>
          <w:rFonts w:ascii="Calibri" w:hAnsi="Calibri"/>
          <w:b/>
          <w:color w:val="525866"/>
          <w:sz w:val="22"/>
        </w:rPr>
        <w:t>Methodology note:</w:t>
      </w:r>
      <w:r>
        <w:rPr>
          <w:rFonts w:ascii="Calibri" w:hAnsi="Calibri"/>
          <w:color w:val="525866"/>
          <w:sz w:val="22"/>
        </w:rPr>
        <w:t xml:space="preserve"> This section includes only peer commentary from the last 60 days that explicitly addresses the peer’s </w:t>
      </w:r>
      <w:r>
        <w:rPr>
          <w:rFonts w:ascii="Calibri" w:hAnsi="Calibri"/>
          <w:b/>
          <w:color w:val="525866"/>
          <w:sz w:val="22"/>
        </w:rPr>
        <w:t>then-current or forward-looking quarter</w:t>
      </w:r>
      <w:r>
        <w:rPr>
          <w:rFonts w:ascii="Calibri" w:hAnsi="Calibri"/>
          <w:color w:val="525866"/>
          <w:sz w:val="22"/>
        </w:rPr>
        <w:t xml:space="preserve"> — i.e., commentary about a quarter that was in progress or upcoming at the time of the peer’s earnings call. Stale commentary (peers discussing their own just-reported quarter’s results) is excluded. Two peers qualify: </w:t>
      </w:r>
    </w:p>
    <w:p>
      <w:pPr>
        <w:pStyle w:val="ListBullet"/>
        <w:ind w:left="360" w:hanging="360"/>
      </w:pPr>
      <w:r>
        <w:rPr>
          <w:rFonts w:ascii="Calibri" w:hAnsi="Calibri"/>
          <w:b/>
          <w:color w:val="525866"/>
          <w:sz w:val="22"/>
        </w:rPr>
        <w:t>CHEF (The Chef’s Warehouse)</w:t>
      </w:r>
      <w:r>
        <w:rPr>
          <w:rFonts w:ascii="Calibri" w:hAnsi="Calibri"/>
          <w:color w:val="525866"/>
          <w:sz w:val="22"/>
        </w:rPr>
        <w:t xml:space="preserve"> — reported Q2 2026 on July 29, 2026; commentary about Q3 2026 (then in progress) qualifies.</w:t>
      </w:r>
    </w:p>
    <w:p>
      <w:pPr>
        <w:pStyle w:val="ListBullet"/>
        <w:ind w:left="360" w:hanging="360"/>
      </w:pPr>
      <w:r>
        <w:rPr>
          <w:rFonts w:ascii="Calibri" w:hAnsi="Calibri"/>
          <w:b/>
          <w:color w:val="525866"/>
          <w:sz w:val="22"/>
        </w:rPr>
        <w:t>UNFI (United Natural Foods)</w:t>
      </w:r>
      <w:r>
        <w:rPr>
          <w:rFonts w:ascii="Calibri" w:hAnsi="Calibri"/>
          <w:color w:val="525866"/>
          <w:sz w:val="22"/>
        </w:rPr>
        <w:t xml:space="preserve"> — reported Q3 FY2026 on June 9, 2026; commentary about Q4 FY2026 (then in progress) qualifies.</w:t>
      </w:r>
    </w:p>
    <w:p>
      <w:pPr>
        <w:pStyle w:val="ListBullet"/>
        <w:ind w:left="360" w:hanging="360"/>
      </w:pPr>
      <w:r>
        <w:rPr>
          <w:rFonts w:ascii="Calibri" w:hAnsi="Calibri"/>
          <w:b/>
          <w:color w:val="525866"/>
          <w:sz w:val="22"/>
        </w:rPr>
        <w:t>USFD (US Foods)</w:t>
      </w:r>
      <w:r>
        <w:rPr>
          <w:rFonts w:ascii="Calibri" w:hAnsi="Calibri"/>
          <w:color w:val="525866"/>
          <w:sz w:val="22"/>
        </w:rPr>
        <w:t xml:space="preserve"> — reported Q1 FY2026 on May 7, 2026; commentary about Q2 FY2026 (then in progress) would qualify, but SYY’s Q4 FY2026 (April–June 2026) overlaps with USFD’s Q2 FY2026 (April–June 2026). However, USFD’s Q2 FY2026 results have not yet been reported as of this preparation date, so USFD’s Q1 commentary about Q2 is included below as a forward read-through.</w:t>
      </w:r>
    </w:p>
    <w:p>
      <w:pPr>
        <w:pStyle w:val="ListBullet"/>
        <w:ind w:left="360" w:hanging="360"/>
      </w:pPr>
      <w:r>
        <w:rPr>
          <w:rFonts w:ascii="Calibri" w:hAnsi="Calibri"/>
          <w:b/>
          <w:color w:val="525866"/>
          <w:sz w:val="22"/>
        </w:rPr>
        <w:t>PFGC (Performance Food Group)</w:t>
      </w:r>
      <w:r>
        <w:rPr>
          <w:rFonts w:ascii="Calibri" w:hAnsi="Calibri"/>
          <w:color w:val="525866"/>
          <w:sz w:val="22"/>
        </w:rPr>
        <w:t xml:space="preserve"> — reported Q3 FY2026 on May 6, 2026; commentary about Q4 FY2026 (then in progress) qualifies. PFGC’s Q4 FY2026 results are expected imminently (webcast announced July 22, 2026) but have not yet been reported.</w:t>
      </w:r>
    </w:p>
    <w:p>
      <w:pPr>
        <w:pStyle w:val="Heading3"/>
      </w:pPr>
      <w:r>
        <w:rPr>
          <w:rFonts w:ascii="Calibri" w:hAnsi="Calibri"/>
          <w:b/>
          <w:color w:val="3B4259"/>
          <w:sz w:val="24"/>
        </w:rPr>
        <w:t>CHEF (The Chef’s Warehouse) — Q2 2026 Earnings Call, July 29, 2026</w:t>
      </w:r>
    </w:p>
    <w:p>
      <w:r>
        <w:rPr>
          <w:rFonts w:ascii="Calibri" w:hAnsi="Calibri"/>
          <w:b/>
          <w:color w:val="525866"/>
          <w:sz w:val="22"/>
        </w:rPr>
        <w:t>Qualifying period:</w:t>
      </w:r>
      <w:r>
        <w:rPr>
          <w:rFonts w:ascii="Calibri" w:hAnsi="Calibri"/>
          <w:color w:val="525866"/>
          <w:sz w:val="22"/>
        </w:rPr>
        <w:t xml:space="preserve"> Commentary about Q3 2026 (July–September 2026), which was in progress at the time of the call. CHEF serves the specialty/fine-dining foodservice channel — a premium subset of SYY’s local restaurant customer base.</w:t>
      </w:r>
    </w:p>
    <w:p>
      <w:pPr>
        <w:pStyle w:val="Heading4"/>
      </w:pPr>
      <w:r>
        <w:rPr>
          <w:rFonts w:ascii="Calibri" w:hAnsi="Calibri"/>
          <w:b/>
          <w:color w:val="3B4259"/>
          <w:sz w:val="22"/>
        </w:rPr>
        <w:t>Demand / Volume</w:t>
      </w:r>
    </w:p>
    <w:p>
      <w:pPr>
        <w:pStyle w:val="ListBullet"/>
        <w:ind w:left="360" w:hanging="360"/>
      </w:pPr>
      <w:r>
        <w:rPr>
          <w:rFonts w:ascii="Calibri" w:hAnsi="Calibri"/>
          <w:b/>
          <w:color w:val="525866"/>
          <w:sz w:val="22"/>
        </w:rPr>
        <w:t>Double-digit top-line growth to start Q3:</w:t>
      </w:r>
      <w:r>
        <w:rPr>
          <w:rFonts w:ascii="Calibri" w:hAnsi="Calibri"/>
          <w:color w:val="525866"/>
          <w:sz w:val="22"/>
        </w:rPr>
        <w:t xml:space="preserve"> “Momentum continued into July, and I currently expect double digit top line growth to start the third quarter.” This is a strong demand signal for the premium foodservice channel heading into the summer season — a positive read-through for SYY’s local restaurant volumes in Q4 FY2026 (which also covers the April–June period, partially overlapping with CHEF’s Q3 start).</w:t>
      </w:r>
    </w:p>
    <w:p>
      <w:pPr>
        <w:pStyle w:val="ListBullet"/>
        <w:ind w:left="360" w:hanging="360"/>
      </w:pPr>
      <w:r>
        <w:rPr>
          <w:rFonts w:ascii="Calibri" w:hAnsi="Calibri"/>
          <w:b/>
          <w:color w:val="525866"/>
          <w:sz w:val="22"/>
        </w:rPr>
        <w:t>Consistent strength throughout H1:</w:t>
      </w:r>
      <w:r>
        <w:rPr>
          <w:rFonts w:ascii="Calibri" w:hAnsi="Calibri"/>
          <w:color w:val="525866"/>
          <w:sz w:val="22"/>
        </w:rPr>
        <w:t xml:space="preserve"> Management described growth as “pretty consistent” quarter-to-date in Q3, with “pretty consistent strength throughout the first part of the year.” No signs of demand deceleration in the specialty channel.</w:t>
      </w:r>
    </w:p>
    <w:p>
      <w:pPr>
        <w:pStyle w:val="ListBullet"/>
        <w:ind w:left="360" w:hanging="360"/>
      </w:pPr>
      <w:r>
        <w:rPr>
          <w:rFonts w:ascii="Calibri" w:hAnsi="Calibri"/>
          <w:b/>
          <w:color w:val="525866"/>
          <w:sz w:val="22"/>
        </w:rPr>
        <w:t>Texas business growing “really nicely”:</w:t>
      </w:r>
      <w:r>
        <w:rPr>
          <w:rFonts w:ascii="Calibri" w:hAnsi="Calibri"/>
          <w:color w:val="525866"/>
          <w:sz w:val="22"/>
        </w:rPr>
        <w:t xml:space="preserve"> A regional positive that may read through to SYY’s USFS local volumes in the South/Southwest.</w:t>
      </w:r>
    </w:p>
    <w:p>
      <w:pPr>
        <w:pStyle w:val="ListBullet"/>
        <w:ind w:left="360" w:hanging="360"/>
      </w:pPr>
      <w:r>
        <w:rPr>
          <w:rFonts w:ascii="Calibri" w:hAnsi="Calibri"/>
          <w:b/>
          <w:color w:val="525866"/>
          <w:sz w:val="22"/>
        </w:rPr>
        <w:t>Middle East conservatism:</w:t>
      </w:r>
      <w:r>
        <w:rPr>
          <w:rFonts w:ascii="Calibri" w:hAnsi="Calibri"/>
          <w:color w:val="525866"/>
          <w:sz w:val="22"/>
        </w:rPr>
        <w:t xml:space="preserve"> CHEF built “some conservatism” into H2 guidance for its Middle East operations (operating at ~94% of prior year in May/June). Not directly relevant to SYY’s domestic operations.</w:t>
      </w:r>
    </w:p>
    <w:p>
      <w:pPr>
        <w:pStyle w:val="Heading4"/>
      </w:pPr>
      <w:r>
        <w:rPr>
          <w:rFonts w:ascii="Calibri" w:hAnsi="Calibri"/>
          <w:b/>
          <w:color w:val="3B4259"/>
          <w:sz w:val="22"/>
        </w:rPr>
        <w:t>Pricing / Inflation</w:t>
      </w:r>
    </w:p>
    <w:p>
      <w:pPr>
        <w:pStyle w:val="ListBullet"/>
        <w:ind w:left="360" w:hanging="360"/>
      </w:pPr>
      <w:r>
        <w:rPr>
          <w:rFonts w:ascii="Calibri" w:hAnsi="Calibri"/>
          <w:b/>
          <w:color w:val="525866"/>
          <w:sz w:val="22"/>
        </w:rPr>
        <w:t>Produce inflation “pretty high”:</w:t>
      </w:r>
      <w:r>
        <w:rPr>
          <w:rFonts w:ascii="Calibri" w:hAnsi="Calibri"/>
          <w:color w:val="525866"/>
          <w:sz w:val="22"/>
        </w:rPr>
        <w:t xml:space="preserve"> CHEF noted produce prices and inflation year-over-year have been “pretty high,” primarily driven by logistics and fuel costs (“$5+ diesel on average across the nation”). This is a potential headwind for SYY’s gross margin in Q4 FY2026, though SYY’s strategic sourcing initiatives have historically mitigated category-level inflation.</w:t>
      </w:r>
    </w:p>
    <w:p>
      <w:pPr>
        <w:pStyle w:val="ListBullet"/>
        <w:ind w:left="360" w:hanging="360"/>
      </w:pPr>
      <w:r>
        <w:rPr>
          <w:rFonts w:ascii="Calibri" w:hAnsi="Calibri"/>
          <w:b/>
          <w:color w:val="525866"/>
          <w:sz w:val="22"/>
        </w:rPr>
        <w:t>Growth overwhelming fuel impact:</w:t>
      </w:r>
      <w:r>
        <w:rPr>
          <w:rFonts w:ascii="Calibri" w:hAnsi="Calibri"/>
          <w:color w:val="525866"/>
          <w:sz w:val="22"/>
        </w:rPr>
        <w:t xml:space="preserve"> Despite high fuel costs, CHEF noted “the power of our growth is kind of overwhelming the fuel impact right now” — a positive signal that volume leverage is absorbing cost headwinds across the foodservice distribution sector.</w:t>
      </w:r>
    </w:p>
    <w:p>
      <w:pPr>
        <w:pStyle w:val="Heading4"/>
      </w:pPr>
      <w:r>
        <w:rPr>
          <w:rFonts w:ascii="Calibri" w:hAnsi="Calibri"/>
          <w:b/>
          <w:color w:val="3B4259"/>
          <w:sz w:val="22"/>
        </w:rPr>
        <w:t>Margin / Cost</w:t>
      </w:r>
    </w:p>
    <w:p>
      <w:pPr>
        <w:pStyle w:val="ListBullet"/>
        <w:ind w:left="360" w:hanging="360"/>
      </w:pPr>
      <w:r>
        <w:rPr>
          <w:rFonts w:ascii="Calibri" w:hAnsi="Calibri"/>
          <w:b/>
          <w:color w:val="525866"/>
          <w:sz w:val="22"/>
        </w:rPr>
        <w:t>Normal seasonal EBITDA cadence expected:</w:t>
      </w:r>
      <w:r>
        <w:rPr>
          <w:rFonts w:ascii="Calibri" w:hAnsi="Calibri"/>
          <w:color w:val="525866"/>
          <w:sz w:val="22"/>
        </w:rPr>
        <w:t xml:space="preserve"> CHEF does not anticipate its EBITDA margin in Q3 to deviate from normal seasonal patterns (Q2 typically strongest, Q4 the “powerhouse quarter driven by December”). Full-year 2026 guidance implies a 6.8% adjusted EBITDA margin, a 70 bps improvement year-over-year.</w:t>
      </w:r>
    </w:p>
    <w:p>
      <w:pPr>
        <w:pStyle w:val="ListBullet"/>
        <w:ind w:left="360" w:hanging="360"/>
      </w:pPr>
      <w:r>
        <w:rPr>
          <w:rFonts w:ascii="Calibri" w:hAnsi="Calibri"/>
          <w:b/>
          <w:color w:val="525866"/>
          <w:sz w:val="22"/>
        </w:rPr>
        <w:t>AI and technology ROI already visible:</w:t>
      </w:r>
      <w:r>
        <w:rPr>
          <w:rFonts w:ascii="Calibri" w:hAnsi="Calibri"/>
          <w:color w:val="525866"/>
          <w:sz w:val="22"/>
        </w:rPr>
        <w:t xml:space="preserve"> CHEF noted investments in AI for operations, inventory management, dynamic pricing, and sales force training are “already getting a great ROI” and making teams “a lot more efficient.” This is directionally consistent with SYY’s own AI360/SAGE technology narrative.</w:t>
      </w:r>
    </w:p>
    <w:p>
      <w:pPr>
        <w:pStyle w:val="ListBullet"/>
        <w:ind w:left="360" w:hanging="360"/>
      </w:pPr>
      <w:r>
        <w:rPr>
          <w:rFonts w:ascii="Calibri" w:hAnsi="Calibri"/>
          <w:b/>
          <w:color w:val="525866"/>
          <w:sz w:val="22"/>
        </w:rPr>
        <w:t>Conservative guidance posture:</w:t>
      </w:r>
      <w:r>
        <w:rPr>
          <w:rFonts w:ascii="Calibri" w:hAnsi="Calibri"/>
          <w:color w:val="525866"/>
          <w:sz w:val="22"/>
        </w:rPr>
        <w:t xml:space="preserve"> Management acknowledged a tendency to be “a little bit conservative on our guidance,” suggesting potential for upside — a positive read-through for the broader foodservice distribution sector’s H2 outlook.</w:t>
      </w:r>
    </w:p>
    <w:p>
      <w:r>
        <w:rPr>
          <w:rFonts w:ascii="Calibri" w:hAnsi="Calibri"/>
          <w:b/>
          <w:color w:val="525866"/>
          <w:sz w:val="22"/>
        </w:rPr>
        <w:t>SYY Read-Through Summary:</w:t>
      </w:r>
      <w:r>
        <w:rPr>
          <w:rFonts w:ascii="Calibri" w:hAnsi="Calibri"/>
          <w:color w:val="525866"/>
          <w:sz w:val="22"/>
        </w:rPr>
        <w:t xml:space="preserve"> CHEF’s July 29 commentary is the most timely and directly relevant peer signal. Double-digit top-line growth into Q3 and consistent demand strength throughout H1 2026 in the premium foodservice channel is a </w:t>
      </w:r>
      <w:r>
        <w:rPr>
          <w:rFonts w:ascii="Calibri" w:hAnsi="Calibri"/>
          <w:b/>
          <w:color w:val="30A46C"/>
          <w:sz w:val="22"/>
        </w:rPr>
        <w:t>positive read-through</w:t>
      </w:r>
      <w:r>
        <w:rPr>
          <w:rFonts w:ascii="Calibri" w:hAnsi="Calibri"/>
          <w:color w:val="525866"/>
          <w:sz w:val="22"/>
        </w:rPr>
        <w:t xml:space="preserve"> for SYY’s Q4 local restaurant volumes. Elevated fuel/produce inflation is a modest </w:t>
      </w:r>
      <w:r>
        <w:rPr>
          <w:rFonts w:ascii="Calibri" w:hAnsi="Calibri"/>
          <w:b/>
          <w:color w:val="E5484D"/>
          <w:sz w:val="22"/>
        </w:rPr>
        <w:t>margin headwind</w:t>
      </w:r>
      <w:r>
        <w:rPr>
          <w:rFonts w:ascii="Calibri" w:hAnsi="Calibri"/>
          <w:color w:val="525866"/>
          <w:sz w:val="22"/>
        </w:rPr>
        <w:t xml:space="preserve"> to watch, though SYY’s scale and strategic sourcing provide more insulation than CHEF.</w:t>
      </w:r>
    </w:p>
    <w:p>
      <w:r>
        <w:rPr>
          <w:rFonts w:ascii="Calibri" w:hAnsi="Calibri"/>
          <w:i/>
          <w:color w:val="525866"/>
          <w:sz w:val="22"/>
        </w:rPr>
        <w:t>Source: CHEF Q2 2026 Earnings Call transcript (July 29, 2026).</w:t>
      </w:r>
    </w:p>
    <w:p>
      <w:pPr>
        <w:pStyle w:val="Heading3"/>
      </w:pPr>
      <w:r>
        <w:rPr>
          <w:rFonts w:ascii="Calibri" w:hAnsi="Calibri"/>
          <w:b/>
          <w:color w:val="3B4259"/>
          <w:sz w:val="24"/>
        </w:rPr>
        <w:t>UNFI (United Natural Foods) — Q3 FY2026 Earnings Call, June 9, 2026</w:t>
      </w:r>
    </w:p>
    <w:p>
      <w:r>
        <w:rPr>
          <w:rFonts w:ascii="Calibri" w:hAnsi="Calibri"/>
          <w:b/>
          <w:color w:val="525866"/>
          <w:sz w:val="22"/>
        </w:rPr>
        <w:t>Qualifying period:</w:t>
      </w:r>
      <w:r>
        <w:rPr>
          <w:rFonts w:ascii="Calibri" w:hAnsi="Calibri"/>
          <w:color w:val="525866"/>
          <w:sz w:val="22"/>
        </w:rPr>
        <w:t xml:space="preserve"> Commentary about Q4 FY2026 (ending early August 2026), which was in progress at the time of the call. UNFI is a wholesale grocery distributor serving natural/organic and independent retailers — a different channel than SYY, but with overlapping macro exposures (inflation, fuel, consumer demand).</w:t>
      </w:r>
    </w:p>
    <w:p>
      <w:pPr>
        <w:pStyle w:val="Heading4"/>
      </w:pPr>
      <w:r>
        <w:rPr>
          <w:rFonts w:ascii="Calibri" w:hAnsi="Calibri"/>
          <w:b/>
          <w:color w:val="3B4259"/>
          <w:sz w:val="22"/>
        </w:rPr>
        <w:t>Demand / Volume</w:t>
      </w:r>
    </w:p>
    <w:p>
      <w:pPr>
        <w:pStyle w:val="ListBullet"/>
        <w:ind w:left="360" w:hanging="360"/>
      </w:pPr>
      <w:r>
        <w:rPr>
          <w:rFonts w:ascii="Calibri" w:hAnsi="Calibri"/>
          <w:b/>
          <w:color w:val="525866"/>
          <w:sz w:val="22"/>
        </w:rPr>
        <w:t>Low single-digit inflation and volume growth expected:</w:t>
      </w:r>
      <w:r>
        <w:rPr>
          <w:rFonts w:ascii="Calibri" w:hAnsi="Calibri"/>
          <w:color w:val="525866"/>
          <w:sz w:val="22"/>
        </w:rPr>
        <w:t xml:space="preserve"> UNFI reiterated its Q4 FY2026 outlook with “tailwinds from the natural growth” and expects its addressable market to grow in the “low single digits consistently over time.” The $90B natural/organic/independent grocer market has shown “consistent growth in the mid-teens over the last 5 quarters” on a two-year stack basis.</w:t>
      </w:r>
    </w:p>
    <w:p>
      <w:pPr>
        <w:pStyle w:val="ListBullet"/>
        <w:ind w:left="360" w:hanging="360"/>
      </w:pPr>
      <w:r>
        <w:rPr>
          <w:rFonts w:ascii="Calibri" w:hAnsi="Calibri"/>
          <w:b/>
          <w:color w:val="525866"/>
          <w:sz w:val="22"/>
        </w:rPr>
        <w:t>Consumer pressure at lower socioeconomic levels:</w:t>
      </w:r>
      <w:r>
        <w:rPr>
          <w:rFonts w:ascii="Calibri" w:hAnsi="Calibri"/>
          <w:color w:val="525866"/>
          <w:sz w:val="22"/>
        </w:rPr>
        <w:t xml:space="preserve"> UNFI observed “incremental pressure across the consumer base, heavily impacting the lower end of the socioeconomic level,” partly due to reduced SNAP funding. Consumers are “continuing to look for value.” This is a relevant read-through for SYY’s national chain restaurant customers, where declining foot traffic has already been flagged.</w:t>
      </w:r>
    </w:p>
    <w:p>
      <w:pPr>
        <w:pStyle w:val="ListBullet"/>
        <w:ind w:left="360" w:hanging="360"/>
      </w:pPr>
      <w:r>
        <w:rPr>
          <w:rFonts w:ascii="Calibri" w:hAnsi="Calibri"/>
          <w:b/>
          <w:color w:val="525866"/>
          <w:sz w:val="22"/>
        </w:rPr>
        <w:t>Health &amp; wellness trend durable:</w:t>
      </w:r>
      <w:r>
        <w:rPr>
          <w:rFonts w:ascii="Calibri" w:hAnsi="Calibri"/>
          <w:color w:val="525866"/>
          <w:sz w:val="22"/>
        </w:rPr>
        <w:t xml:space="preserve"> UNFI identified a “major lean-in point” toward “health and wellness and organic” that is expected to continue “for a long time.” Relevant for SYY’s product mix strategy and Sysco Brand penetration in premium categories.</w:t>
      </w:r>
    </w:p>
    <w:p>
      <w:pPr>
        <w:pStyle w:val="Heading4"/>
      </w:pPr>
      <w:r>
        <w:rPr>
          <w:rFonts w:ascii="Calibri" w:hAnsi="Calibri"/>
          <w:b/>
          <w:color w:val="3B4259"/>
          <w:sz w:val="22"/>
        </w:rPr>
        <w:t>Pricing / Inflation</w:t>
      </w:r>
    </w:p>
    <w:p>
      <w:pPr>
        <w:pStyle w:val="ListBullet"/>
        <w:ind w:left="360" w:hanging="360"/>
      </w:pPr>
      <w:r>
        <w:rPr>
          <w:rFonts w:ascii="Calibri" w:hAnsi="Calibri"/>
          <w:b/>
          <w:color w:val="525866"/>
          <w:sz w:val="22"/>
        </w:rPr>
        <w:t>Low single-digit inflation through early August:</w:t>
      </w:r>
      <w:r>
        <w:rPr>
          <w:rFonts w:ascii="Calibri" w:hAnsi="Calibri"/>
          <w:color w:val="525866"/>
          <w:sz w:val="22"/>
        </w:rPr>
        <w:t xml:space="preserve"> UNFI forecast “low single-digit inflation” through the end of its fiscal year (early August 2026), consistent with SYY’s Q3 enterprise inflation of 2.8%. The backdrop is described as “very, very dynamic.”</w:t>
      </w:r>
    </w:p>
    <w:p>
      <w:pPr>
        <w:pStyle w:val="ListBullet"/>
        <w:ind w:left="360" w:hanging="360"/>
      </w:pPr>
      <w:r>
        <w:rPr>
          <w:rFonts w:ascii="Calibri" w:hAnsi="Calibri"/>
          <w:b/>
          <w:color w:val="525866"/>
          <w:sz w:val="22"/>
        </w:rPr>
        <w:t>60–90 day supplier price notice buffer:</w:t>
      </w:r>
      <w:r>
        <w:rPr>
          <w:rFonts w:ascii="Calibri" w:hAnsi="Calibri"/>
          <w:color w:val="525866"/>
          <w:sz w:val="22"/>
        </w:rPr>
        <w:t xml:space="preserve"> UNFI has a “60- to 90-day advanced price notice” with suppliers, providing time to work with customers on alternatives if inflation sustains at or above low single digits. This suggests near-term inflation visibility is manageable.</w:t>
      </w:r>
    </w:p>
    <w:p>
      <w:pPr>
        <w:pStyle w:val="Heading4"/>
      </w:pPr>
      <w:r>
        <w:rPr>
          <w:rFonts w:ascii="Calibri" w:hAnsi="Calibri"/>
          <w:b/>
          <w:color w:val="3B4259"/>
          <w:sz w:val="22"/>
        </w:rPr>
        <w:t>Cost / Margin</w:t>
      </w:r>
    </w:p>
    <w:p>
      <w:pPr>
        <w:pStyle w:val="ListBullet"/>
        <w:ind w:left="360" w:hanging="360"/>
      </w:pPr>
      <w:r>
        <w:rPr>
          <w:rFonts w:ascii="Calibri" w:hAnsi="Calibri"/>
          <w:b/>
          <w:color w:val="525866"/>
          <w:sz w:val="22"/>
        </w:rPr>
        <w:t>Fuel and transportation pressure in Q4:</w:t>
      </w:r>
      <w:r>
        <w:rPr>
          <w:rFonts w:ascii="Calibri" w:hAnsi="Calibri"/>
          <w:color w:val="525866"/>
          <w:sz w:val="22"/>
        </w:rPr>
        <w:t xml:space="preserve"> UNFI embedded “expected pressure from fuel and transportation” in its Q4 FY2026 outlook, alongside “incremental investments in technology, supply chain and commercial capabilities.” This is a sector-wide cost headwind that SYY will also face in Q4 FY2026.</w:t>
      </w:r>
    </w:p>
    <w:p>
      <w:pPr>
        <w:pStyle w:val="ListBullet"/>
        <w:ind w:left="360" w:hanging="360"/>
      </w:pPr>
      <w:r>
        <w:rPr>
          <w:rFonts w:ascii="Calibri" w:hAnsi="Calibri"/>
          <w:b/>
          <w:color w:val="525866"/>
          <w:sz w:val="22"/>
        </w:rPr>
        <w:t>Productivity journey continues:</w:t>
      </w:r>
      <w:r>
        <w:rPr>
          <w:rFonts w:ascii="Calibri" w:hAnsi="Calibri"/>
          <w:color w:val="525866"/>
          <w:sz w:val="22"/>
        </w:rPr>
        <w:t xml:space="preserve"> UNFI’s Q4 outlook embeds a “continuous journey on productivity” as a tailwind, consistent with SYY’s own $60M cost savings initiative beginning in Q4.</w:t>
      </w:r>
    </w:p>
    <w:p>
      <w:pPr>
        <w:pStyle w:val="ListBullet"/>
        <w:ind w:left="360" w:hanging="360"/>
      </w:pPr>
      <w:r>
        <w:rPr>
          <w:rFonts w:ascii="Calibri" w:hAnsi="Calibri"/>
          <w:b/>
          <w:color w:val="525866"/>
          <w:sz w:val="22"/>
        </w:rPr>
        <w:t>Working capital benefits moderating:</w:t>
      </w:r>
      <w:r>
        <w:rPr>
          <w:rFonts w:ascii="Calibri" w:hAnsi="Calibri"/>
          <w:color w:val="525866"/>
          <w:sz w:val="22"/>
        </w:rPr>
        <w:t xml:space="preserve"> UNFI noted it “wouldn’t expect the same magnitude of benefits year-over-year” from working capital as in prior years. A sector-level signal that FCF tailwinds from working capital are normalizing.</w:t>
      </w:r>
    </w:p>
    <w:p>
      <w:r>
        <w:rPr>
          <w:rFonts w:ascii="Calibri" w:hAnsi="Calibri"/>
          <w:b/>
          <w:color w:val="525866"/>
          <w:sz w:val="22"/>
        </w:rPr>
        <w:t>SYY Read-Through Summary:</w:t>
      </w:r>
      <w:r>
        <w:rPr>
          <w:rFonts w:ascii="Calibri" w:hAnsi="Calibri"/>
          <w:color w:val="525866"/>
          <w:sz w:val="22"/>
        </w:rPr>
        <w:t xml:space="preserve"> UNFI’s June 9 commentary provides a </w:t>
      </w:r>
      <w:r>
        <w:rPr>
          <w:rFonts w:ascii="Calibri" w:hAnsi="Calibri"/>
          <w:b/>
          <w:color w:val="002FA7"/>
          <w:sz w:val="22"/>
        </w:rPr>
        <w:t>mixed read-through</w:t>
      </w:r>
      <w:r>
        <w:rPr>
          <w:rFonts w:ascii="Calibri" w:hAnsi="Calibri"/>
          <w:color w:val="525866"/>
          <w:sz w:val="22"/>
        </w:rPr>
        <w:t xml:space="preserve"> for SYY. Low single-digit inflation and durable demand in the natural/organic channel are broadly positive for the foodservice distribution sector. However, consumer pressure at lower income levels and elevated fuel/transportation costs are headwinds that SYY’s national chain restaurant segment will feel. The productivity and cost savings themes are consistent with SYY’s own Q4 narrative.</w:t>
      </w:r>
    </w:p>
    <w:p>
      <w:r>
        <w:rPr>
          <w:rFonts w:ascii="Calibri" w:hAnsi="Calibri"/>
          <w:i/>
          <w:color w:val="525866"/>
          <w:sz w:val="22"/>
        </w:rPr>
        <w:t>Source: UNFI Q3 FY2026 Earnings Call transcript (June 9, 2026).</w:t>
      </w:r>
    </w:p>
    <w:p>
      <w:pPr>
        <w:pStyle w:val="Heading3"/>
      </w:pPr>
      <w:r>
        <w:rPr>
          <w:rFonts w:ascii="Calibri" w:hAnsi="Calibri"/>
          <w:b/>
          <w:color w:val="3B4259"/>
          <w:sz w:val="24"/>
        </w:rPr>
        <w:t>Peer Commentary Excluded (Stale / Reported-Quarter Only)</w:t>
      </w:r>
    </w:p>
    <w:p>
      <w:r>
        <w:rPr>
          <w:rFonts w:ascii="Calibri" w:hAnsi="Calibri"/>
          <w:color w:val="525866"/>
          <w:sz w:val="22"/>
        </w:rPr>
        <w:t>The following peer commentary was reviewed but excluded because it addressed the peer’s own just-reported quarter results rather than a then-current or forward-looking period:</w:t>
      </w:r>
    </w:p>
    <w:p>
      <w:pPr>
        <w:pStyle w:val="ListBullet"/>
        <w:ind w:left="360" w:hanging="360"/>
      </w:pPr>
      <w:r>
        <w:rPr>
          <w:rFonts w:ascii="Calibri" w:hAnsi="Calibri"/>
          <w:b/>
          <w:color w:val="525866"/>
          <w:sz w:val="22"/>
        </w:rPr>
        <w:t>PFGC Q3 FY2026 (May 6, 2026):</w:t>
      </w:r>
      <w:r>
        <w:rPr>
          <w:rFonts w:ascii="Calibri" w:hAnsi="Calibri"/>
          <w:color w:val="525866"/>
          <w:sz w:val="22"/>
        </w:rPr>
        <w:t xml:space="preserve"> PFGC’s Q3 FY2026 results and Q4 FY2026 forward commentary would qualify, but the Q4 FY2026 earnings call has been announced (webcast July 22, 2026) and results are expected imminently. The Q3 call’s forward commentary about Q4 FY2026 (April–June 2026) is directionally relevant but has been superseded by the passage of time — PFGC’s Q4 actual results will be available shortly and will provide a more direct read-through.</w:t>
      </w:r>
    </w:p>
    <w:p>
      <w:pPr>
        <w:pStyle w:val="ListBullet"/>
        <w:ind w:left="360" w:hanging="360"/>
      </w:pPr>
      <w:r>
        <w:rPr>
          <w:rFonts w:ascii="Calibri" w:hAnsi="Calibri"/>
          <w:b/>
          <w:color w:val="525866"/>
          <w:sz w:val="22"/>
        </w:rPr>
        <w:t>USFD Q1 FY2026 (May 7, 2026):</w:t>
      </w:r>
      <w:r>
        <w:rPr>
          <w:rFonts w:ascii="Calibri" w:hAnsi="Calibri"/>
          <w:color w:val="525866"/>
          <w:sz w:val="22"/>
        </w:rPr>
        <w:t xml:space="preserve"> US Foods’ Q1 FY2026 results and Q2 FY2026 forward commentary (April–June 2026 period) would be the most direct peer read-through for SYY’s Q4 FY2026, as both cover the same calendar quarter. However, USFD’s Q2 FY2026 results have not yet been reported as of this preparation date, so the Q1 call’s forward commentary is the best available signal. Key USFD Q1 forward commentary: management guided for continued volume growth and margin improvement in Q2, consistent with the broader sector trend.</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Peer</w:t>
            </w:r>
          </w:p>
        </w:tc>
        <w:tc>
          <w:tcPr>
            <w:tcW w:type="dxa" w:w="1234"/>
            <w:shd w:val="clear" w:color="auto" w:fill="3B4259"/>
          </w:tcPr>
          <w:p>
            <w:r>
              <w:rPr>
                <w:rFonts w:ascii="Calibri" w:hAnsi="Calibri"/>
                <w:b/>
                <w:color w:val="FFFFFF"/>
                <w:sz w:val="22"/>
              </w:rPr>
              <w:t>Call Date</w:t>
            </w:r>
          </w:p>
        </w:tc>
        <w:tc>
          <w:tcPr>
            <w:tcW w:type="dxa" w:w="1234"/>
            <w:shd w:val="clear" w:color="auto" w:fill="3B4259"/>
          </w:tcPr>
          <w:p>
            <w:r>
              <w:rPr>
                <w:rFonts w:ascii="Calibri" w:hAnsi="Calibri"/>
                <w:b/>
                <w:color w:val="FFFFFF"/>
                <w:sz w:val="22"/>
              </w:rPr>
              <w:t>Qualifying Period</w:t>
            </w:r>
          </w:p>
        </w:tc>
        <w:tc>
          <w:tcPr>
            <w:tcW w:type="dxa" w:w="1234"/>
            <w:shd w:val="clear" w:color="auto" w:fill="3B4259"/>
          </w:tcPr>
          <w:p>
            <w:r>
              <w:rPr>
                <w:rFonts w:ascii="Calibri" w:hAnsi="Calibri"/>
                <w:b/>
                <w:color w:val="FFFFFF"/>
                <w:sz w:val="22"/>
              </w:rPr>
              <w:t>Volume Signal</w:t>
            </w:r>
          </w:p>
        </w:tc>
        <w:tc>
          <w:tcPr>
            <w:tcW w:type="dxa" w:w="1234"/>
            <w:shd w:val="clear" w:color="auto" w:fill="3B4259"/>
          </w:tcPr>
          <w:p>
            <w:r>
              <w:rPr>
                <w:rFonts w:ascii="Calibri" w:hAnsi="Calibri"/>
                <w:b/>
                <w:color w:val="FFFFFF"/>
                <w:sz w:val="22"/>
              </w:rPr>
              <w:t>Inflation Signal</w:t>
            </w:r>
          </w:p>
        </w:tc>
        <w:tc>
          <w:tcPr>
            <w:tcW w:type="dxa" w:w="1234"/>
            <w:shd w:val="clear" w:color="auto" w:fill="3B4259"/>
          </w:tcPr>
          <w:p>
            <w:r>
              <w:rPr>
                <w:rFonts w:ascii="Calibri" w:hAnsi="Calibri"/>
                <w:b/>
                <w:color w:val="FFFFFF"/>
                <w:sz w:val="22"/>
              </w:rPr>
              <w:t>Margin Signal</w:t>
            </w:r>
          </w:p>
        </w:tc>
        <w:tc>
          <w:tcPr>
            <w:tcW w:type="dxa" w:w="1234"/>
            <w:shd w:val="clear" w:color="auto" w:fill="3B4259"/>
          </w:tcPr>
          <w:p>
            <w:r>
              <w:rPr>
                <w:rFonts w:ascii="Calibri" w:hAnsi="Calibri"/>
                <w:b/>
                <w:color w:val="FFFFFF"/>
                <w:sz w:val="22"/>
              </w:rPr>
              <w:t>Net SYY Read-Through</w:t>
            </w:r>
          </w:p>
        </w:tc>
      </w:tr>
      <w:tr>
        <w:tc>
          <w:tcPr>
            <w:tcW w:type="dxa" w:w="1234"/>
          </w:tcPr>
          <w:p>
            <w:r>
              <w:rPr>
                <w:rFonts w:ascii="Calibri" w:hAnsi="Calibri"/>
                <w:sz w:val="22"/>
              </w:rPr>
              <w:t>CHEF</w:t>
            </w:r>
          </w:p>
        </w:tc>
        <w:tc>
          <w:tcPr>
            <w:tcW w:type="dxa" w:w="1234"/>
          </w:tcPr>
          <w:p>
            <w:r>
              <w:rPr>
                <w:rFonts w:ascii="Calibri" w:hAnsi="Calibri"/>
                <w:sz w:val="22"/>
              </w:rPr>
              <w:t>July 29, 2026</w:t>
            </w:r>
          </w:p>
        </w:tc>
        <w:tc>
          <w:tcPr>
            <w:tcW w:type="dxa" w:w="1234"/>
          </w:tcPr>
          <w:p>
            <w:r>
              <w:rPr>
                <w:rFonts w:ascii="Calibri" w:hAnsi="Calibri"/>
                <w:sz w:val="22"/>
              </w:rPr>
              <w:t>Q3 2026 (Jul-Sep, in progress)</w:t>
            </w:r>
          </w:p>
        </w:tc>
        <w:tc>
          <w:tcPr>
            <w:tcW w:type="dxa" w:w="1234"/>
          </w:tcPr>
          <w:p>
            <w:r>
              <w:rPr>
                <w:rFonts w:ascii="Calibri" w:hAnsi="Calibri"/>
                <w:b/>
                <w:color w:val="30A46C"/>
                <w:sz w:val="22"/>
              </w:rPr>
              <w:t>Double-digit top-line growth into Q3; consistent H1 strength</w:t>
            </w:r>
          </w:p>
        </w:tc>
        <w:tc>
          <w:tcPr>
            <w:tcW w:type="dxa" w:w="1234"/>
          </w:tcPr>
          <w:p>
            <w:r>
              <w:rPr>
                <w:rFonts w:ascii="Calibri" w:hAnsi="Calibri"/>
                <w:b/>
                <w:color w:val="E5484D"/>
                <w:sz w:val="22"/>
              </w:rPr>
              <w:t>Produce/fuel inflation elevated; $5+ diesel</w:t>
            </w:r>
          </w:p>
        </w:tc>
        <w:tc>
          <w:tcPr>
            <w:tcW w:type="dxa" w:w="1234"/>
          </w:tcPr>
          <w:p>
            <w:r>
              <w:rPr>
                <w:rFonts w:ascii="Calibri" w:hAnsi="Calibri"/>
                <w:b/>
                <w:color w:val="30A46C"/>
                <w:sz w:val="22"/>
              </w:rPr>
              <w:t>Normal seasonal cadence; growth overwhelming fuel impact</w:t>
            </w:r>
          </w:p>
        </w:tc>
        <w:tc>
          <w:tcPr>
            <w:tcW w:type="dxa" w:w="1234"/>
          </w:tcPr>
          <w:p>
            <w:r>
              <w:rPr>
                <w:rFonts w:ascii="Calibri" w:hAnsi="Calibri"/>
                <w:b/>
                <w:color w:val="30A46C"/>
                <w:sz w:val="22"/>
              </w:rPr>
              <w:t>Positive</w:t>
            </w:r>
          </w:p>
        </w:tc>
      </w:tr>
      <w:tr>
        <w:tc>
          <w:tcPr>
            <w:tcW w:type="dxa" w:w="1234"/>
          </w:tcPr>
          <w:p>
            <w:r>
              <w:rPr>
                <w:rFonts w:ascii="Calibri" w:hAnsi="Calibri"/>
                <w:sz w:val="22"/>
              </w:rPr>
              <w:t>UNFI</w:t>
            </w:r>
          </w:p>
        </w:tc>
        <w:tc>
          <w:tcPr>
            <w:tcW w:type="dxa" w:w="1234"/>
          </w:tcPr>
          <w:p>
            <w:r>
              <w:rPr>
                <w:rFonts w:ascii="Calibri" w:hAnsi="Calibri"/>
                <w:sz w:val="22"/>
              </w:rPr>
              <w:t>June 9, 2026</w:t>
            </w:r>
          </w:p>
        </w:tc>
        <w:tc>
          <w:tcPr>
            <w:tcW w:type="dxa" w:w="1234"/>
          </w:tcPr>
          <w:p>
            <w:r>
              <w:rPr>
                <w:rFonts w:ascii="Calibri" w:hAnsi="Calibri"/>
                <w:sz w:val="22"/>
              </w:rPr>
              <w:t>Q4 FY2026 (May-Aug, in progress)</w:t>
            </w:r>
          </w:p>
        </w:tc>
        <w:tc>
          <w:tcPr>
            <w:tcW w:type="dxa" w:w="1234"/>
          </w:tcPr>
          <w:p>
            <w:r>
              <w:rPr>
                <w:rFonts w:ascii="Calibri" w:hAnsi="Calibri"/>
                <w:b/>
                <w:color w:val="002FA7"/>
                <w:sz w:val="22"/>
              </w:rPr>
              <w:t>Low single-digit growth; consumer pressure at lower income levels</w:t>
            </w:r>
          </w:p>
        </w:tc>
        <w:tc>
          <w:tcPr>
            <w:tcW w:type="dxa" w:w="1234"/>
          </w:tcPr>
          <w:p>
            <w:r>
              <w:rPr>
                <w:rFonts w:ascii="Calibri" w:hAnsi="Calibri"/>
                <w:b/>
                <w:color w:val="002FA7"/>
                <w:sz w:val="22"/>
              </w:rPr>
              <w:t>Low single-digit inflation; dynamic backdrop</w:t>
            </w:r>
          </w:p>
        </w:tc>
        <w:tc>
          <w:tcPr>
            <w:tcW w:type="dxa" w:w="1234"/>
          </w:tcPr>
          <w:p>
            <w:r>
              <w:rPr>
                <w:rFonts w:ascii="Calibri" w:hAnsi="Calibri"/>
                <w:b/>
                <w:color w:val="002FA7"/>
                <w:sz w:val="22"/>
              </w:rPr>
              <w:t>Fuel/transport headwind; productivity tailwind</w:t>
            </w:r>
          </w:p>
        </w:tc>
        <w:tc>
          <w:tcPr>
            <w:tcW w:type="dxa" w:w="1234"/>
          </w:tcPr>
          <w:p>
            <w:r>
              <w:rPr>
                <w:rFonts w:ascii="Calibri" w:hAnsi="Calibri"/>
                <w:b/>
                <w:color w:val="002FA7"/>
                <w:sz w:val="22"/>
              </w:rPr>
              <w:t>Mixed</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