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TAP (Molson Coors) before writing the preview. Let me gather recent earnings, filings, guidance, and news.I'll read the most recent earnings materials and get stock price data.Let me get the year-ago Q2 comparison and recent stock price/news context.Let me check for recent news, analyst estimates, and any leadership/strategic developments ahead of the print.# Molson Coors (TAP) — Q2 2026 Earnings Preview</w:t>
      </w:r>
      <w:r>
        <w:t xml:space="preserve"> </w:t>
      </w:r>
      <w:r>
        <w:rPr>
          <w:b/>
          <w:bCs/>
        </w:rPr>
        <w:t xml:space="preserve">Report date:</w:t>
      </w:r>
      <w:r>
        <w:t xml:space="preserve"> </w:t>
      </w:r>
      <w:r>
        <w:t xml:space="preserve">Wednesday, August 6, 2026 (before market open) ·</w:t>
      </w:r>
      <w:r>
        <w:t xml:space="preserve"> </w:t>
      </w:r>
      <w:r>
        <w:rPr>
          <w:b/>
          <w:bCs/>
        </w:rPr>
        <w:t xml:space="preserve">Event:</w:t>
      </w:r>
      <w:r>
        <w:t xml:space="preserve"> </w:t>
      </w:r>
      <w:r>
        <w:t xml:space="preserve">2026 Q2 Earnings Call</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the quarter management pre-flagged as the trough of 2026. On the Q1 call and in the Q1 release, Molson Coors told investors that Q2 would carry the year's largest cost and shipment headwinds simultaneously — so a sharp year-over-year earnings decline is</w:t>
      </w:r>
      <w:r>
        <w:t xml:space="preserve"> </w:t>
      </w:r>
      <w:r>
        <w:rPr>
          <w:i/>
          <w:iCs/>
        </w:rPr>
        <w:t xml:space="preserve">expected</w:t>
      </w:r>
      <w:r>
        <w:t xml:space="preserve">, not a surprise. The debate is entirely about</w:t>
      </w:r>
      <w:r>
        <w:t xml:space="preserve"> </w:t>
      </w:r>
      <w:r>
        <w:rPr>
          <w:b/>
          <w:bCs/>
        </w:rPr>
        <w:t xml:space="preserve">magnitude, the second-half bridge, and whether full-year guidance holds</w:t>
      </w:r>
      <w:r>
        <w:t xml:space="preserve">.</w:t>
      </w:r>
    </w:p>
    <w:p>
      <w:pPr>
        <w:pStyle w:val="BodyText"/>
      </w:pPr>
      <w:r>
        <w:t xml:space="preserve">Wall Street is modeling a rough print. Per aggregated previews, consensus sits at roughly</w:t>
      </w:r>
      <w:r>
        <w:t xml:space="preserve"> </w:t>
      </w:r>
      <m:oMath>
        <m:r>
          <m:t>1.51</m:t>
        </m:r>
        <m:r>
          <m:t>E</m:t>
        </m:r>
        <m:r>
          <m:t>P</m:t>
        </m:r>
        <m:r>
          <m:t>S</m:t>
        </m:r>
        <m:r>
          <m:t>o</m:t>
        </m:r>
        <m:r>
          <m:t>n</m:t>
        </m:r>
        <m:r>
          <m:t> </m:t>
        </m:r>
      </m:oMath>
      <w:r>
        <w:rPr>
          <w:b/>
          <w:bCs/>
        </w:rPr>
        <w:t xml:space="preserve">3.09B revenue</w:t>
      </w:r>
      <w:r>
        <w:t xml:space="preserve">, which would be about a</w:t>
      </w:r>
      <w:r>
        <w:t xml:space="preserve"> </w:t>
      </w:r>
      <w:r>
        <w:rPr>
          <w:b/>
          <w:bCs/>
        </w:rPr>
        <w:t xml:space="preserve">26% EPS decline</w:t>
      </w:r>
      <w:r>
        <w:t xml:space="preserve"> </w:t>
      </w:r>
      <w:r>
        <w:t xml:space="preserve">from the $2.05 earned in Q2 2025 and a</w:t>
      </w:r>
      <w:r>
        <w:t xml:space="preserve"> </w:t>
      </w:r>
      <w:r>
        <w:rPr>
          <w:b/>
          <w:bCs/>
        </w:rPr>
        <w:t xml:space="preserve">~3.4% revenue decline</w:t>
      </w:r>
      <w:r>
        <w:t xml:space="preserve"> </w:t>
      </w:r>
      <w:r>
        <w:t xml:space="preserve">from $3.20B; the EPS range spans roughly</w:t>
      </w:r>
      <w:r>
        <w:t xml:space="preserve"> </w:t>
      </w:r>
      <m:oMath>
        <m:r>
          <m:t>1.35</m:t>
        </m:r>
        <m:r>
          <m:rPr>
            <m:sty m:val="p"/>
          </m:rPr>
          <m:t>–</m:t>
        </m:r>
      </m:oMath>
      <w:r>
        <w:t xml:space="preserve">1.62 across ~16 analysts.</w:t>
      </w:r>
    </w:p>
    <w:p>
      <w:r>
        <w:pict>
          <v:rect style="width:0;height:1.5pt" o:hralign="center" o:hrstd="t" o:hr="t"/>
        </w:pict>
      </w:r>
    </w:p>
    <w:bookmarkEnd w:id="9"/>
    <w:bookmarkStart w:id="10" w:name="Xfc85a3b0631eaf70d66e076c71efaf52f2e67af"/>
    <w:p>
      <w:pPr>
        <w:pStyle w:val="Heading2"/>
      </w:pPr>
      <w:r>
        <w:t xml:space="preserve">Why Q2 is structurally the weakest quarter</w:t>
      </w:r>
    </w:p>
    <w:p>
      <w:pPr>
        <w:pStyle w:val="FirstParagraph"/>
      </w:pPr>
      <w:r>
        <w:t xml:space="preserve">Management was unusually explicit about phasing. Three headwinds stack in Q2:</w:t>
      </w:r>
    </w:p>
    <w:p>
      <w:pPr>
        <w:pStyle w:val="Compact"/>
        <w:numPr>
          <w:ilvl w:val="0"/>
          <w:numId w:val="1001"/>
        </w:numPr>
      </w:pPr>
      <w:r>
        <w:rPr>
          <w:b/>
          <w:bCs/>
        </w:rPr>
        <w:t xml:space="preserve">U.S. shipments guided down 6–9%.</w:t>
      </w:r>
      <w:r>
        <w:t xml:space="preserve"> </w:t>
      </w:r>
      <w:r>
        <w:t xml:space="preserve">The company said Q2 STWs (sales-to-wholesalers) will</w:t>
      </w:r>
      <w:r>
        <w:t xml:space="preserve"> </w:t>
      </w:r>
      <w:r>
        <w:rPr>
          <w:i/>
          <w:iCs/>
        </w:rPr>
        <w:t xml:space="preserve">trail</w:t>
      </w:r>
      <w:r>
        <w:t xml:space="preserve"> </w:t>
      </w:r>
      <w:r>
        <w:t xml:space="preserve">brand volumes (STRs), with shipments then outpacing depletions in H2. Drivers cited: cycling high year-ago inventory, glass/packaging supplier pinch points, and planned line-upgrade downtime at the Shenandoah brewery. This is the single biggest swing factor for the print — a 6–9% STW decline drives heavy volume deleverage.</w:t>
      </w:r>
    </w:p>
    <w:p>
      <w:pPr>
        <w:pStyle w:val="Compact"/>
        <w:numPr>
          <w:ilvl w:val="0"/>
          <w:numId w:val="1001"/>
        </w:numPr>
      </w:pPr>
      <w:r>
        <w:rPr>
          <w:b/>
          <w:bCs/>
        </w:rPr>
        <w:t xml:space="preserve">Midwest Premium (aluminum surcharge) inflation peaks in Q2.</w:t>
      </w:r>
      <w:r>
        <w:t xml:space="preserve"> </w:t>
      </w:r>
      <w:r>
        <w:t xml:space="preserve">The full-year commodity headwind was framed as *at least ~</w:t>
      </w:r>
      <m:oMath>
        <m:r>
          <m:t>125</m:t>
        </m:r>
        <m:r>
          <m:t>M</m:t>
        </m:r>
        <m:r>
          <m:rPr>
            <m:sty m:val="p"/>
          </m:rPr>
          <m:t>*</m:t>
        </m:r>
        <m:r>
          <m:rPr>
            <m:sty m:val="p"/>
          </m:rPr>
          <m:t>(</m:t>
        </m:r>
        <m:r>
          <m:rPr>
            <m:sty m:val="p"/>
          </m:rPr>
          <m:t>≈</m:t>
        </m:r>
        <m:r>
          <m:t>9</m:t>
        </m:r>
        <m:r>
          <m:rPr>
            <m:sty m:val="p"/>
          </m:rPr>
          <m:t>–</m:t>
        </m:r>
        <m:r>
          <m:t>10</m:t>
        </m:r>
        <m:r>
          <m:t>p</m:t>
        </m:r>
        <m:r>
          <m:t>t</m:t>
        </m:r>
        <m:r>
          <m:t>s</m:t>
        </m:r>
        <m:r>
          <m:t>o</m:t>
        </m:r>
        <m:r>
          <m:t>f</m:t>
        </m:r>
        <m:r>
          <m:t>p</m:t>
        </m:r>
        <m:r>
          <m:t>r</m:t>
        </m:r>
        <m:r>
          <m:t>e</m:t>
        </m:r>
        <m:r>
          <m:t>t</m:t>
        </m:r>
        <m:r>
          <m:t>a</m:t>
        </m:r>
        <m:r>
          <m:t>x</m:t>
        </m:r>
        <m:r>
          <m:t>i</m:t>
        </m:r>
        <m:r>
          <m:t>n</m:t>
        </m:r>
        <m:r>
          <m:t>c</m:t>
        </m:r>
        <m:r>
          <m:t>o</m:t>
        </m:r>
        <m:r>
          <m:t>m</m:t>
        </m:r>
        <m:r>
          <m:t>e</m:t>
        </m:r>
        <m:r>
          <m:rPr>
            <m:sty m:val="p"/>
          </m:rPr>
          <m:t>)</m:t>
        </m:r>
        <m:r>
          <m:rPr>
            <m:sty m:val="p"/>
          </m:rPr>
          <m:t>,</m:t>
        </m:r>
        <m:r>
          <m:t>w</m:t>
        </m:r>
        <m:r>
          <m:t>i</m:t>
        </m:r>
        <m:r>
          <m:t>t</m:t>
        </m:r>
        <m:r>
          <m:t>h</m:t>
        </m:r>
        <m:r>
          <m:t>t</m:t>
        </m:r>
        <m:r>
          <m:t>h</m:t>
        </m:r>
        <m:r>
          <m:t>e</m:t>
        </m:r>
        <m:r>
          <m:t>l</m:t>
        </m:r>
        <m:r>
          <m:t>a</m:t>
        </m:r>
        <m:r>
          <m:t>r</m:t>
        </m:r>
        <m:r>
          <m:t>g</m:t>
        </m:r>
        <m:r>
          <m:t>e</m:t>
        </m:r>
        <m:r>
          <m:t>s</m:t>
        </m:r>
        <m:r>
          <m:t>t</m:t>
        </m:r>
        <m:r>
          <m:t>s</m:t>
        </m:r>
        <m:r>
          <m:t>e</m:t>
        </m:r>
        <m:r>
          <m:t>q</m:t>
        </m:r>
        <m:r>
          <m:t>u</m:t>
        </m:r>
        <m:r>
          <m:t>e</m:t>
        </m:r>
        <m:r>
          <m:t>n</m:t>
        </m:r>
        <m:r>
          <m:t>t</m:t>
        </m:r>
        <m:r>
          <m:t>i</m:t>
        </m:r>
        <m:r>
          <m:t>a</m:t>
        </m:r>
        <m:r>
          <m:t>l</m:t>
        </m:r>
        <m:r>
          <m:t>i</m:t>
        </m:r>
        <m:r>
          <m:t>n</m:t>
        </m:r>
        <m:r>
          <m:t>c</m:t>
        </m:r>
        <m:r>
          <m:t>r</m:t>
        </m:r>
        <m:r>
          <m:t>e</m:t>
        </m:r>
        <m:r>
          <m:t>a</m:t>
        </m:r>
        <m:r>
          <m:t>s</m:t>
        </m:r>
        <m:r>
          <m:t>e</m:t>
        </m:r>
        <m:r>
          <m:t>l</m:t>
        </m:r>
        <m:r>
          <m:t>a</m:t>
        </m:r>
        <m:r>
          <m:t>n</m:t>
        </m:r>
        <m:r>
          <m:t>d</m:t>
        </m:r>
        <m:r>
          <m:t>i</m:t>
        </m:r>
        <m:r>
          <m:t>n</m:t>
        </m:r>
        <m:r>
          <m:t>g</m:t>
        </m:r>
        <m:r>
          <m:t>i</m:t>
        </m:r>
        <m:r>
          <m:t>n</m:t>
        </m:r>
        <m:r>
          <m:t>Q</m:t>
        </m:r>
        <m:r>
          <m:t>2</m:t>
        </m:r>
        <m:r>
          <m:rPr>
            <m:sty m:val="p"/>
          </m:rPr>
          <m:t>.</m:t>
        </m:r>
        <m:r>
          <m:t>Q</m:t>
        </m:r>
        <m:r>
          <m:t>1</m:t>
        </m:r>
        <m:r>
          <m:t>a</m:t>
        </m:r>
        <m:r>
          <m:t>l</m:t>
        </m:r>
        <m:r>
          <m:t>r</m:t>
        </m:r>
        <m:r>
          <m:t>e</m:t>
        </m:r>
        <m:r>
          <m:t>a</m:t>
        </m:r>
        <m:r>
          <m:t>d</m:t>
        </m:r>
        <m:r>
          <m:t>y</m:t>
        </m:r>
        <m:r>
          <m:t>a</m:t>
        </m:r>
        <m:r>
          <m:t>b</m:t>
        </m:r>
        <m:r>
          <m:t>s</m:t>
        </m:r>
        <m:r>
          <m:t>o</m:t>
        </m:r>
        <m:r>
          <m:t>r</m:t>
        </m:r>
        <m:r>
          <m:t>b</m:t>
        </m:r>
        <m:r>
          <m:t>e</m:t>
        </m:r>
        <m:r>
          <m:t>d</m:t>
        </m:r>
        <m:r>
          <m:t> </m:t>
        </m:r>
      </m:oMath>
      <w:r>
        <w:t xml:space="preserve">30M. Management claims "meaningful hedge coverage," making recent price spikes a "manageable" — but still real — headwind.</w:t>
      </w:r>
    </w:p>
    <w:p>
      <w:pPr>
        <w:pStyle w:val="Compact"/>
        <w:numPr>
          <w:ilvl w:val="0"/>
          <w:numId w:val="1001"/>
        </w:numPr>
      </w:pPr>
      <w:r>
        <w:rPr>
          <w:b/>
          <w:bCs/>
        </w:rPr>
        <w:t xml:space="preserve">MG&amp;A steps up sharply, with the biggest increase in Q2.</w:t>
      </w:r>
      <w:r>
        <w:t xml:space="preserve"> </w:t>
      </w:r>
      <w:r>
        <w:t xml:space="preserve">Incentive-comp reloads (lapping an unusually low 2025 accrual), ERP modernization spend, Monaco integration costs (~80 added salespeople), and the concentration of summer marketing (a multi-brand World Cup push described as the largest media investment in years, plus America's 250th activation) all hit here. Recall Q1 EPS actually rose 24%</w:t>
      </w:r>
      <w:r>
        <w:t xml:space="preserve"> </w:t>
      </w:r>
      <w:r>
        <w:rPr>
          <w:i/>
          <w:iCs/>
        </w:rPr>
        <w:t xml:space="preserve">because</w:t>
      </w:r>
      <w:r>
        <w:t xml:space="preserve"> </w:t>
      </w:r>
      <w:r>
        <w:t xml:space="preserve">MG&amp;A fell 9% on favorable phasing and the cycling of ~$30M of prior-year Fever-Tree costs — that tailwind reverses in Q2.</w:t>
      </w:r>
    </w:p>
    <w:p>
      <w:pPr>
        <w:pStyle w:val="FirstParagraph"/>
      </w:pPr>
      <w:r>
        <w:rPr>
          <w:b/>
          <w:bCs/>
        </w:rPr>
        <w:t xml:space="preserve">Net:</w:t>
      </w:r>
      <w:r>
        <w:t xml:space="preserve"> </w:t>
      </w:r>
      <w:r>
        <w:t xml:space="preserve">the same phasing dynamics that flattered Q1 work against Q2. Don't read a big Q2 miss-looking headline as a fundamental deterioration without checking it against the guided cadence.</w:t>
      </w:r>
    </w:p>
    <w:p>
      <w:r>
        <w:pict>
          <v:rect style="width:0;height:1.5pt" o:hralign="center" o:hrstd="t" o:hr="t"/>
        </w:pict>
      </w:r>
    </w:p>
    <w:bookmarkEnd w:id="10"/>
    <w:bookmarkStart w:id="11" w:name="full-year-guidance--the-real-focus"/>
    <w:p>
      <w:pPr>
        <w:pStyle w:val="Heading2"/>
      </w:pPr>
      <w:r>
        <w:t xml:space="preserve">Full-year guidance — the real focus</w:t>
      </w:r>
    </w:p>
    <w:p>
      <w:pPr>
        <w:pStyle w:val="FirstParagraph"/>
      </w:pPr>
      <w:r>
        <w:t xml:space="preserve">Management</w:t>
      </w:r>
      <w:r>
        <w:t xml:space="preserve"> </w:t>
      </w:r>
      <w:r>
        <w:rPr>
          <w:b/>
          <w:bCs/>
        </w:rPr>
        <w:t xml:space="preserve">reaffirmed</w:t>
      </w:r>
      <w:r>
        <w:t xml:space="preserve"> </w:t>
      </w:r>
      <w:r>
        <w:t xml:space="preserve">FY2026 guidance at Q1:</w:t>
      </w:r>
    </w:p>
    <w:p>
      <w:pPr>
        <w:pStyle w:val="Compact"/>
        <w:numPr>
          <w:ilvl w:val="0"/>
          <w:numId w:val="1002"/>
        </w:numPr>
      </w:pPr>
      <w:r>
        <w:rPr>
          <w:b/>
          <w:bCs/>
        </w:rPr>
        <w:t xml:space="preserve">Net sales:</w:t>
      </w:r>
      <w:r>
        <w:t xml:space="preserve"> </w:t>
      </w:r>
      <w:r>
        <w:t xml:space="preserve">flat ±1% (constant currency)</w:t>
      </w:r>
    </w:p>
    <w:p>
      <w:pPr>
        <w:pStyle w:val="Compact"/>
        <w:numPr>
          <w:ilvl w:val="0"/>
          <w:numId w:val="1002"/>
        </w:numPr>
      </w:pPr>
      <w:r>
        <w:rPr>
          <w:b/>
          <w:bCs/>
        </w:rPr>
        <w:t xml:space="preserve">Underlying pretax income:</w:t>
      </w:r>
      <w:r>
        <w:t xml:space="preserve"> </w:t>
      </w:r>
      <w:r>
        <w:rPr>
          <w:b/>
          <w:bCs/>
        </w:rPr>
        <w:t xml:space="preserve">down 15%–18%</w:t>
      </w:r>
      <w:r>
        <w:t xml:space="preserve"> </w:t>
      </w:r>
      <w:r>
        <w:t xml:space="preserve">(CC)</w:t>
      </w:r>
    </w:p>
    <w:p>
      <w:pPr>
        <w:pStyle w:val="Compact"/>
        <w:numPr>
          <w:ilvl w:val="0"/>
          <w:numId w:val="1002"/>
        </w:numPr>
      </w:pPr>
      <w:r>
        <w:rPr>
          <w:b/>
          <w:bCs/>
        </w:rPr>
        <w:t xml:space="preserve">Underlying EPS:</w:t>
      </w:r>
      <w:r>
        <w:t xml:space="preserve"> </w:t>
      </w:r>
      <w:r>
        <w:rPr>
          <w:b/>
          <w:bCs/>
        </w:rPr>
        <w:t xml:space="preserve">down 11%–15%</w:t>
      </w:r>
    </w:p>
    <w:p>
      <w:pPr>
        <w:pStyle w:val="Compact"/>
        <w:numPr>
          <w:ilvl w:val="0"/>
          <w:numId w:val="1002"/>
        </w:numPr>
      </w:pPr>
      <w:r>
        <w:rPr>
          <w:b/>
          <w:bCs/>
        </w:rPr>
        <w:t xml:space="preserve">Underlying free cash flow:</w:t>
      </w:r>
      <w:r>
        <w:t xml:space="preserve"> </w:t>
      </w:r>
      <w:r>
        <w:t xml:space="preserve">$1.1B ±10%</w:t>
      </w:r>
    </w:p>
    <w:p>
      <w:pPr>
        <w:pStyle w:val="Compact"/>
        <w:numPr>
          <w:ilvl w:val="0"/>
          <w:numId w:val="1002"/>
        </w:numPr>
      </w:pPr>
      <w:r>
        <w:rPr>
          <w:b/>
          <w:bCs/>
        </w:rPr>
        <w:t xml:space="preserve">Capex:</w:t>
      </w:r>
      <w:r>
        <w:t xml:space="preserve"> </w:t>
      </w:r>
      <w:r>
        <w:t xml:space="preserve">$650M ±5% ·</w:t>
      </w:r>
      <w:r>
        <w:t xml:space="preserve"> </w:t>
      </w:r>
      <w:r>
        <w:rPr>
          <w:b/>
          <w:bCs/>
        </w:rPr>
        <w:t xml:space="preserve">Net interest:</w:t>
      </w:r>
      <w:r>
        <w:t xml:space="preserve"> </w:t>
      </w:r>
      <w:r>
        <w:t xml:space="preserve">$260M ±5% ·</w:t>
      </w:r>
      <w:r>
        <w:t xml:space="preserve"> </w:t>
      </w:r>
      <w:r>
        <w:rPr>
          <w:b/>
          <w:bCs/>
        </w:rPr>
        <w:t xml:space="preserve">Tax rate:</w:t>
      </w:r>
      <w:r>
        <w:t xml:space="preserve"> </w:t>
      </w:r>
      <w:r>
        <w:t xml:space="preserve">22%–24%</w:t>
      </w:r>
    </w:p>
    <w:p>
      <w:pPr>
        <w:pStyle w:val="FirstParagraph"/>
      </w:pPr>
      <w:r>
        <w:rPr>
          <w:b/>
          <w:bCs/>
        </w:rPr>
        <w:t xml:space="preserve">Why this matters:</w:t>
      </w:r>
      <w:r>
        <w:t xml:space="preserve"> </w:t>
      </w:r>
      <w:r>
        <w:t xml:space="preserve">TAP has a recent credibility problem on guidance. In Q2 2025, the prior management team</w:t>
      </w:r>
      <w:r>
        <w:t xml:space="preserve"> </w:t>
      </w:r>
      <w:r>
        <w:rPr>
          <w:i/>
          <w:iCs/>
        </w:rPr>
        <w:t xml:space="preserve">cut</w:t>
      </w:r>
      <w:r>
        <w:t xml:space="preserve"> </w:t>
      </w:r>
      <w:r>
        <w:t xml:space="preserve">the full-year outlook mid-year (net sales from "low-single-digit decline" to -3–4%; EPS from "low-single-digit growth" to -7–10%) on weak U.S. share and tariff/Midwest Premium costs. With a still-soft consumer, elevated aluminum costs, and a wide Q2 shipment range,</w:t>
      </w:r>
      <w:r>
        <w:t xml:space="preserve"> </w:t>
      </w:r>
      <w:r>
        <w:rPr>
          <w:b/>
          <w:bCs/>
        </w:rPr>
        <w:t xml:space="preserve">whether the new team holds the line on FY guidance is the most important binary event of the report.</w:t>
      </w:r>
      <w:r>
        <w:t xml:space="preserve"> </w:t>
      </w:r>
      <w:r>
        <w:t xml:space="preserve">A reaffirmation would be reassuring; any trim would echo 2025 and likely pressure the stock.</w:t>
      </w:r>
    </w:p>
    <w:p>
      <w:r>
        <w:pict>
          <v:rect style="width:0;height:1.5pt" o:hralign="center" o:hrstd="t" o:hr="t"/>
        </w:pict>
      </w:r>
    </w:p>
    <w:bookmarkEnd w:id="11"/>
    <w:bookmarkStart w:id="12" w:name="fundamental-threads-to-track"/>
    <w:p>
      <w:pPr>
        <w:pStyle w:val="Heading2"/>
      </w:pPr>
      <w:r>
        <w:t xml:space="preserve">Fundamental threads to track</w:t>
      </w:r>
    </w:p>
    <w:p>
      <w:pPr>
        <w:pStyle w:val="FirstParagraph"/>
      </w:pPr>
      <w:r>
        <w:rPr>
          <w:b/>
          <w:bCs/>
        </w:rPr>
        <w:t xml:space="preserve">U.S. share / core brands.</w:t>
      </w:r>
      <w:r>
        <w:t xml:space="preserve"> </w:t>
      </w:r>
      <w:r>
        <w:t xml:space="preserve">The persistent sore spot. Q1 U.S. volume share fell ~60 bps and the industry was down ~1.6%. Management admitted share "wasn't where we wanted it to be," with</w:t>
      </w:r>
      <w:r>
        <w:t xml:space="preserve"> </w:t>
      </w:r>
      <w:r>
        <w:rPr>
          <w:b/>
          <w:bCs/>
        </w:rPr>
        <w:t xml:space="preserve">Miller Lite</w:t>
      </w:r>
      <w:r>
        <w:t xml:space="preserve"> </w:t>
      </w:r>
      <w:r>
        <w:t xml:space="preserve">weak in a couple of regions (notably the Great Lakes) and the</w:t>
      </w:r>
      <w:r>
        <w:t xml:space="preserve"> </w:t>
      </w:r>
      <w:r>
        <w:rPr>
          <w:b/>
          <w:bCs/>
        </w:rPr>
        <w:t xml:space="preserve">value segment (Keystone) a chronic "leaky bucket."</w:t>
      </w:r>
      <w:r>
        <w:t xml:space="preserve"> </w:t>
      </w:r>
      <w:r>
        <w:t xml:space="preserve">Coors Banquet is a genuine bright spot (momentum, back to national sports advertising); Coors Light is "holding its own." Watch for whether the guided H2 share improvement is showing any early signs, and any hard data on Miller Lite stabilization.</w:t>
      </w:r>
    </w:p>
    <w:p>
      <w:pPr>
        <w:pStyle w:val="BodyText"/>
      </w:pPr>
      <w:r>
        <w:rPr>
          <w:b/>
          <w:bCs/>
        </w:rPr>
        <w:t xml:space="preserve">Beyond beer / premiumization — the growth story.</w:t>
      </w:r>
      <w:r>
        <w:t xml:space="preserve"> </w:t>
      </w:r>
      <w:r>
        <w:t xml:space="preserve">Fever-Tree, Topo Chico Hard (back to growth), Peroni, Blue Moon non-alc, and now</w:t>
      </w:r>
      <w:r>
        <w:t xml:space="preserve"> </w:t>
      </w:r>
      <w:r>
        <w:rPr>
          <w:b/>
          <w:bCs/>
        </w:rPr>
        <w:t xml:space="preserve">Monaco Cocktails</w:t>
      </w:r>
      <w:r>
        <w:t xml:space="preserve"> </w:t>
      </w:r>
      <w:r>
        <w:t xml:space="preserve">(Atomic Brands, $275M, closed April 1, ~1% of global NSR, TAP's entry into RTD cocktails via convenience). Management said Monaco is incrementally profitable in year one despite integration costs. Beyond beer is targeted toward ~10% of the portfolio. Look for early Monaco contribution and Fever-Tree scaling commentary.</w:t>
      </w:r>
    </w:p>
    <w:p>
      <w:pPr>
        <w:pStyle w:val="BodyText"/>
      </w:pPr>
      <w:r>
        <w:rPr>
          <w:b/>
          <w:bCs/>
        </w:rPr>
        <w:t xml:space="preserve">EMEA &amp; APAC.</w:t>
      </w:r>
      <w:r>
        <w:t xml:space="preserve"> </w:t>
      </w:r>
      <w:r>
        <w:t xml:space="preserve">The weaker segment — Q1 underlying pretax loss widened on soft U.K. demand, competitive pricing on Madrí, and macro/geopolitical cost pressure (fuel). Restructuring is underway (a U.K. brewery closure). Watch for stabilization or further deterioration.</w:t>
      </w:r>
    </w:p>
    <w:p>
      <w:pPr>
        <w:pStyle w:val="BodyText"/>
      </w:pPr>
      <w:r>
        <w:rPr>
          <w:b/>
          <w:bCs/>
        </w:rPr>
        <w:t xml:space="preserve">Consumer health.</w:t>
      </w:r>
      <w:r>
        <w:t xml:space="preserve"> </w:t>
      </w:r>
      <w:r>
        <w:t xml:space="preserve">A barbell: healthy premium/above-premium consumers (Peroni, Fever-Tree) vs. pressured lower-income consumers; ongoing shift to singles and large packs at the expense of small/medium packs. Fuel prices and sentiment remain the swing variables management keeps flagging.</w:t>
      </w:r>
    </w:p>
    <w:p>
      <w:r>
        <w:pict>
          <v:rect style="width:0;height:1.5pt" o:hralign="center" o:hrstd="t" o:hr="t"/>
        </w:pict>
      </w:r>
    </w:p>
    <w:bookmarkEnd w:id="12"/>
    <w:bookmarkStart w:id="13" w:name="capital-allocation--balance-sheet"/>
    <w:p>
      <w:pPr>
        <w:pStyle w:val="Heading2"/>
      </w:pPr>
      <w:r>
        <w:t xml:space="preserve">Capital allocation &amp; balance sheet</w:t>
      </w:r>
    </w:p>
    <w:p>
      <w:pPr>
        <w:pStyle w:val="Compact"/>
        <w:numPr>
          <w:ilvl w:val="0"/>
          <w:numId w:val="1003"/>
        </w:numPr>
      </w:pPr>
      <w:r>
        <w:rPr>
          <w:b/>
          <w:bCs/>
        </w:rPr>
        <w:t xml:space="preserve">Buyback:</w:t>
      </w:r>
      <w:r>
        <w:t xml:space="preserve"> </w:t>
      </w:r>
      <w:r>
        <w:t xml:space="preserve">authorization raised to</w:t>
      </w:r>
      <w:r>
        <w:t xml:space="preserve"> </w:t>
      </w:r>
      <w:r>
        <w:rPr>
          <w:b/>
          <w:bCs/>
        </w:rPr>
        <w:t xml:space="preserve">up to $4B through 2031</w:t>
      </w:r>
      <w:r>
        <w:t xml:space="preserve">; Q1 saw $164M repurchased (3.4M shares). Buybacks are the main EPS support offsetting operating declines — pace matters.</w:t>
      </w:r>
    </w:p>
    <w:p>
      <w:pPr>
        <w:pStyle w:val="Compact"/>
        <w:numPr>
          <w:ilvl w:val="0"/>
          <w:numId w:val="1003"/>
        </w:numPr>
      </w:pPr>
      <w:r>
        <w:rPr>
          <w:b/>
          <w:bCs/>
        </w:rPr>
        <w:t xml:space="preserve">Dividend:</w:t>
      </w:r>
      <w:r>
        <w:t xml:space="preserve"> </w:t>
      </w:r>
      <w:r>
        <w:t xml:space="preserve">raised 2.1% to</w:t>
      </w:r>
      <w:r>
        <w:t xml:space="preserve"> </w:t>
      </w:r>
      <w:r>
        <w:rPr>
          <w:b/>
          <w:bCs/>
        </w:rPr>
        <w:t xml:space="preserve">$0.48/qtr</w:t>
      </w:r>
      <w:r>
        <w:t xml:space="preserve"> </w:t>
      </w:r>
      <w:r>
        <w:t xml:space="preserve">(5th straight year of increases); notably, absolute dividend cash outlay is falling as the share count shrinks.</w:t>
      </w:r>
    </w:p>
    <w:p>
      <w:pPr>
        <w:pStyle w:val="Compact"/>
        <w:numPr>
          <w:ilvl w:val="0"/>
          <w:numId w:val="1003"/>
        </w:numPr>
      </w:pPr>
      <w:r>
        <w:rPr>
          <w:b/>
          <w:bCs/>
        </w:rPr>
        <w:t xml:space="preserve">Leverage:</w:t>
      </w:r>
      <w:r>
        <w:t xml:space="preserve"> </w:t>
      </w:r>
      <w:r>
        <w:t xml:space="preserve">net debt/EBITDA was</w:t>
      </w:r>
      <w:r>
        <w:t xml:space="preserve"> </w:t>
      </w:r>
      <w:r>
        <w:rPr>
          <w:b/>
          <w:bCs/>
        </w:rPr>
        <w:t xml:space="preserve">2.51x</w:t>
      </w:r>
      <w:r>
        <w:t xml:space="preserve"> </w:t>
      </w:r>
      <w:r>
        <w:t xml:space="preserve">at Q1 (seasonally elevated); management targets</w:t>
      </w:r>
      <w:r>
        <w:t xml:space="preserve"> </w:t>
      </w:r>
      <w:r>
        <w:rPr>
          <w:b/>
          <w:bCs/>
        </w:rPr>
        <w:t xml:space="preserve">&lt;2.5x by year-end</w:t>
      </w:r>
      <w:r>
        <w:t xml:space="preserve">.</w:t>
      </w:r>
    </w:p>
    <w:p>
      <w:pPr>
        <w:pStyle w:val="Compact"/>
        <w:numPr>
          <w:ilvl w:val="0"/>
          <w:numId w:val="1003"/>
        </w:numPr>
      </w:pPr>
      <w:r>
        <w:rPr>
          <w:b/>
          <w:bCs/>
        </w:rPr>
        <w:t xml:space="preserve">Debt wall:</w:t>
      </w:r>
      <w:r>
        <w:t xml:space="preserve"> </w:t>
      </w:r>
      <w:r>
        <w:t xml:space="preserve">a</w:t>
      </w:r>
      <w:r>
        <w:t xml:space="preserve"> </w:t>
      </w:r>
      <w:r>
        <w:rPr>
          <w:b/>
          <w:bCs/>
        </w:rPr>
        <w:t xml:space="preserve">$2.4B maturity came due in July 2026</w:t>
      </w:r>
      <w:r>
        <w:t xml:space="preserve">, with approval to refinance $1.1–1.9B. Expect an update on the refinancing and any interest-expense implications.</w:t>
      </w:r>
    </w:p>
    <w:p>
      <w:r>
        <w:pict>
          <v:rect style="width:0;height:1.5pt" o:hralign="center" o:hrstd="t" o:hr="t"/>
        </w:pict>
      </w:r>
    </w:p>
    <w:bookmarkEnd w:id="13"/>
    <w:bookmarkStart w:id="14" w:name="stock-context"/>
    <w:p>
      <w:pPr>
        <w:pStyle w:val="Heading2"/>
      </w:pPr>
      <w:r>
        <w:t xml:space="preserve">Stock context</w:t>
      </w:r>
    </w:p>
    <w:p>
      <w:pPr>
        <w:pStyle w:val="FirstParagraph"/>
      </w:pPr>
      <w:r>
        <w:t xml:space="preserve">Shares have de-rated meaningfully in 2026 — from the low-</w:t>
      </w:r>
      <m:oMath>
        <m:r>
          <m:t>50</m:t>
        </m:r>
        <m:r>
          <m:t>s</m:t>
        </m:r>
        <m:r>
          <m:t>i</m:t>
        </m:r>
        <m:r>
          <m:t>n</m:t>
        </m:r>
        <m:r>
          <m:t>m</m:t>
        </m:r>
        <m:r>
          <m:t>i</m:t>
        </m:r>
        <m:r>
          <m:t>d</m:t>
        </m:r>
        <m:r>
          <m:rPr>
            <m:sty m:val="p"/>
          </m:rPr>
          <m:t>−</m:t>
        </m:r>
        <m:r>
          <m:t>F</m:t>
        </m:r>
        <m:r>
          <m:t>e</m:t>
        </m:r>
        <m:r>
          <m:t>b</m:t>
        </m:r>
        <m:r>
          <m:t>r</m:t>
        </m:r>
        <m:r>
          <m:t>u</m:t>
        </m:r>
        <m:r>
          <m:t>a</m:t>
        </m:r>
        <m:r>
          <m:t>r</m:t>
        </m:r>
        <m:r>
          <m:t>y</m:t>
        </m:r>
        <m:r>
          <m:t>t</m:t>
        </m:r>
        <m:r>
          <m:t>o</m:t>
        </m:r>
        <m:r>
          <m:t>a</m:t>
        </m:r>
        <m:r>
          <m:t>h</m:t>
        </m:r>
        <m:r>
          <m:t>i</m:t>
        </m:r>
        <m:r>
          <m:t>g</m:t>
        </m:r>
        <m:r>
          <m:t>h</m:t>
        </m:r>
        <m:r>
          <m:rPr>
            <m:sty m:val="p"/>
          </m:rPr>
          <m:t>−</m:t>
        </m:r>
      </m:oMath>
      <w:r>
        <w:t xml:space="preserve">30s trough in June, recovering only modestly to roughly</w:t>
      </w:r>
      <w:r>
        <w:t xml:space="preserve"> </w:t>
      </w:r>
      <w:r>
        <w:rPr>
          <w:b/>
          <w:bCs/>
        </w:rPr>
        <w:t xml:space="preserve">$42 heading into the print</w:t>
      </w:r>
      <w:r>
        <w:t xml:space="preserve"> </w:t>
      </w:r>
      <w:r>
        <w:t xml:space="preserve">(near multi-year lows). Much of the bad news (weak volumes, cost inflation, a soft Q2 guide, a new-CEO reset year) appears at least partially discounted. That sets up a classic "expectations vs. reality" event: with sentiment poor and the Q2 weakness pre-announced, the reaction may hinge more on the</w:t>
      </w:r>
      <w:r>
        <w:t xml:space="preserve"> </w:t>
      </w:r>
      <w:r>
        <w:rPr>
          <w:b/>
          <w:bCs/>
        </w:rPr>
        <w:t xml:space="preserve">guidance reaffirmation and H2 share/shipment bridge</w:t>
      </w:r>
      <w:r>
        <w:t xml:space="preserve"> </w:t>
      </w:r>
      <w:r>
        <w:t xml:space="preserve">than on the Q2 headline itself.</w:t>
      </w:r>
    </w:p>
    <w:p>
      <w:r>
        <w:pict>
          <v:rect style="width:0;height:1.5pt" o:hralign="center" o:hrstd="t" o:hr="t"/>
        </w:pict>
      </w:r>
    </w:p>
    <w:bookmarkEnd w:id="14"/>
    <w:bookmarkStart w:id="15" w:name="what-would-move-the-stock"/>
    <w:p>
      <w:pPr>
        <w:pStyle w:val="Heading2"/>
      </w:pPr>
      <w:r>
        <w:t xml:space="preserve">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w:t>
            </w:r>
          </w:p>
        </w:tc>
        <w:tc>
          <w:tcPr/>
          <w:p>
            <w:pPr>
              <w:pStyle w:val="Compact"/>
            </w:pPr>
            <w:r>
              <w:t xml:space="preserve">Bearish</w:t>
            </w:r>
          </w:p>
        </w:tc>
      </w:tr>
      <w:tr>
        <w:tc>
          <w:tcPr/>
          <w:p>
            <w:pPr>
              <w:pStyle w:val="Compact"/>
            </w:pPr>
            <w:r>
              <w:t xml:space="preserve">FY guidance reaffirmed (or narrowed favorably)</w:t>
            </w:r>
          </w:p>
        </w:tc>
        <w:tc>
          <w:tcPr/>
          <w:p>
            <w:pPr>
              <w:pStyle w:val="Compact"/>
            </w:pPr>
            <w:r>
              <w:t xml:space="preserve">Any FY cut — repeats the 2025 credibility hit</w:t>
            </w:r>
          </w:p>
        </w:tc>
      </w:tr>
      <w:tr>
        <w:tc>
          <w:tcPr/>
          <w:p>
            <w:pPr>
              <w:pStyle w:val="Compact"/>
            </w:pPr>
            <w:r>
              <w:t xml:space="preserve">STW decline at the better end (~-6%) + clear H2 recovery framing</w:t>
            </w:r>
          </w:p>
        </w:tc>
        <w:tc>
          <w:tcPr/>
          <w:p>
            <w:pPr>
              <w:pStyle w:val="Compact"/>
            </w:pPr>
            <w:r>
              <w:t xml:space="preserve">STW at/below -9% with vague H2 catch-up</w:t>
            </w:r>
          </w:p>
        </w:tc>
      </w:tr>
      <w:tr>
        <w:tc>
          <w:tcPr/>
          <w:p>
            <w:pPr>
              <w:pStyle w:val="Compact"/>
            </w:pPr>
            <w:r>
              <w:t xml:space="preserve">Early evidence of U.S. share stabilization (Miller Lite, Keystone)</w:t>
            </w:r>
          </w:p>
        </w:tc>
        <w:tc>
          <w:tcPr/>
          <w:p>
            <w:pPr>
              <w:pStyle w:val="Compact"/>
            </w:pPr>
            <w:r>
              <w:t xml:space="preserve">Continued share bleed with no inflection</w:t>
            </w:r>
          </w:p>
        </w:tc>
      </w:tr>
      <w:tr>
        <w:tc>
          <w:tcPr/>
          <w:p>
            <w:pPr>
              <w:pStyle w:val="Compact"/>
            </w:pPr>
            <w:r>
              <w:t xml:space="preserve">Strong beyond-beer/Monaco/Fever-Tree contribution</w:t>
            </w:r>
          </w:p>
        </w:tc>
        <w:tc>
          <w:tcPr/>
          <w:p>
            <w:pPr>
              <w:pStyle w:val="Compact"/>
            </w:pPr>
            <w:r>
              <w:t xml:space="preserve">Midwest Premium/aluminum costs running hotter than hedged</w:t>
            </w:r>
          </w:p>
        </w:tc>
      </w:tr>
      <w:tr>
        <w:tc>
          <w:tcPr/>
          <w:p>
            <w:pPr>
              <w:pStyle w:val="Compact"/>
            </w:pPr>
            <w:r>
              <w:t xml:space="preserve">Continued aggressive buyback + clean debt refi</w:t>
            </w:r>
          </w:p>
        </w:tc>
        <w:tc>
          <w:tcPr/>
          <w:p>
            <w:pPr>
              <w:pStyle w:val="Compact"/>
            </w:pPr>
            <w:r>
              <w:t xml:space="preserve">Leverage creep / cautious capital-return tone</w:t>
            </w:r>
          </w:p>
        </w:tc>
      </w:tr>
    </w:tbl>
    <w:p>
      <w:r>
        <w:pict>
          <v:rect style="width:0;height:1.5pt" o:hralign="center" o:hrstd="t" o:hr="t"/>
        </w:pict>
      </w:r>
    </w:p>
    <w:bookmarkEnd w:id="15"/>
    <w:bookmarkStart w:id="16" w:name="bottom-line"/>
    <w:p>
      <w:pPr>
        <w:pStyle w:val="Heading2"/>
      </w:pPr>
      <w:r>
        <w:t xml:space="preserve">Bottom line</w:t>
      </w:r>
    </w:p>
    <w:p>
      <w:pPr>
        <w:pStyle w:val="FirstParagraph"/>
      </w:pPr>
      <w:r>
        <w:t xml:space="preserve">Q2 2026 is set up to be the</w:t>
      </w:r>
      <w:r>
        <w:t xml:space="preserve"> </w:t>
      </w:r>
      <w:r>
        <w:rPr>
          <w:b/>
          <w:bCs/>
        </w:rPr>
        <w:t xml:space="preserve">ugliest optics quarter of the year by design</w:t>
      </w:r>
      <w:r>
        <w:t xml:space="preserve"> </w:t>
      </w:r>
      <w:r>
        <w:t xml:space="preserve">— a large guided shipment drop, peak commodity inflation, and a full reload of marketing and incentive spend will drive a ~25%+ EPS decline that management has already telegraphed. The investment case doesn't turn on the Q2 number; it turns on</w:t>
      </w:r>
      <w:r>
        <w:t xml:space="preserve"> </w:t>
      </w:r>
      <w:r>
        <w:rPr>
          <w:b/>
          <w:bCs/>
        </w:rPr>
        <w:t xml:space="preserve">(1) whether the first-year CEO (Rahul Goyal) and the Horizon 2030 strategy keep full-year guidance intact, (2) tangible proof the H2 shipment/share recovery is real, and (3) momentum in the beyond-beer transformation (Monaco, Fever-Tree, Topo Chico)</w:t>
      </w:r>
      <w:r>
        <w:t xml:space="preserve"> </w:t>
      </w:r>
      <w:r>
        <w:t xml:space="preserve">that is meant to offset a mature, declining U.S. beer core. With the stock near multi-year lows, the bar is low — making guidance tone and the second-half bridge the key catalysts to watch.</w:t>
      </w:r>
    </w:p>
    <w:p>
      <w:pPr>
        <w:pStyle w:val="BodyText"/>
      </w:pPr>
      <w:r>
        <w:rPr>
          <w:i/>
          <w:iCs/>
        </w:rPr>
        <w:t xml:space="preserve">Note: All figures are underlying/non-GAAP where indicated. Consensus estimates are third-party aggregations and will vary by provider.</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2026-08-06T01:48:24Z</dcterms:created>
  <dcterms:modified xsi:type="dcterms:W3CDTF">2026-08-06T01:48:24Z</dcterms:modified>
</cp:coreProperties>
</file>

<file path=docProps/custom.xml><?xml version="1.0" encoding="utf-8"?>
<Properties xmlns="http://schemas.openxmlformats.org/officeDocument/2006/custom-properties" xmlns:vt="http://schemas.openxmlformats.org/officeDocument/2006/docPropsVTypes"/>
</file>