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ap-earnings-predictions--2026-08-06"/>
    <w:p>
      <w:pPr>
        <w:pStyle w:val="Heading1"/>
      </w:pPr>
      <w:r>
        <w:t xml:space="preserve">TAP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~$1.46 vs. cons $1.51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(Revenue)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~$3.03B vs. cons $3.09B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STW Shipments YoY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~-8% vs. cons/guide midpoint -7.5%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growth (constant currency)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~flat (0%, +/-1%) vs. cons ~flat 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Underlying EPS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~-14% vs. cons ~-12%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Aluminum/tariff cost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~$125M vs. cons $125M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net debt/EBITDA leverage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~&lt;2.5x vs. cons ~2.4x (FY2026 year-end)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U.S. share trend vs Q1 (-60bps)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~improvement (qualitative, no numeric target) vs. cons ~-30bps implied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-3.6% (FADE)</w:t>
            </w:r>
          </w:p>
        </w:tc>
        <w:tc>
          <w:tcPr/>
          <w:p>
            <w:pPr>
              <w:pStyle w:val="Compact"/>
            </w:pPr>
            <w:r>
              <w:t xml:space="preserve">Even if the print lands roughly within the pre-guided ugly range, the gap between a modest ~-3% revenue decline and a much steeper EPS decline (peak aluminum/MPT costs plus MG&amp;A step-up) keeps margin skepticism alive; full-year guidance implies a sharp H2 shipment catch-up and share stabilization that analysts will need to underwrite without much new evidence, so sell-side models likely trim H2/FY26-27 EPS further even after modest in-line commentary, producing continued downward revisions and price fade over the following days rather than stabilization.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2026-08-06T00:21:12Z</dcterms:created>
  <dcterms:modified xsi:type="dcterms:W3CDTF">2026-08-06T00:21:12Z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