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5de420dda3f5693ae74cd65efa27df404dbff08"/>
    <w:p>
      <w:pPr>
        <w:pStyle w:val="Heading1"/>
      </w:pPr>
      <w:r>
        <w:t xml:space="preserve">Molson Coors Beverage Company (TAP) — Q2 2026 Earnings Preview</w:t>
      </w:r>
    </w:p>
    <w:p>
      <w:pPr>
        <w:pStyle w:val="FirstParagraph"/>
      </w:pPr>
      <w:r>
        <w:rPr>
          <w:b/>
          <w:bCs/>
        </w:rPr>
        <w:t xml:space="preserve">Report date:</w:t>
      </w:r>
      <w:r>
        <w:t xml:space="preserve"> </w:t>
      </w:r>
      <w:r>
        <w:t xml:space="preserve">Thursday, August 6, 2026, before market open (call same day)</w:t>
      </w:r>
      <w:r>
        <w:t xml:space="preserve"> </w:t>
      </w:r>
      <w:r>
        <w:rPr>
          <w:b/>
          <w:bCs/>
        </w:rPr>
        <w:t xml:space="preserve">Prior-year comp:</w:t>
      </w:r>
      <w:r>
        <w:t xml:space="preserve"> </w:t>
      </w:r>
      <w:r>
        <w:t xml:space="preserve">Q2 2025 underlying EPS of</w:t>
      </w:r>
      <w:r>
        <w:t xml:space="preserve"> </w:t>
      </w:r>
      <m:oMath>
        <m:r>
          <m:t>2.05</m:t>
        </m:r>
        <m:r>
          <m:rPr>
            <m:sty m:val="p"/>
          </m:rPr>
          <m:t>;</m:t>
        </m:r>
        <m:r>
          <m:t>n</m:t>
        </m:r>
        <m:r>
          <m:t>e</m:t>
        </m:r>
        <m:r>
          <m:t>t</m:t>
        </m:r>
        <m:r>
          <m:t>s</m:t>
        </m:r>
        <m:r>
          <m:t>a</m:t>
        </m:r>
        <m:r>
          <m:t>l</m:t>
        </m:r>
        <m:r>
          <m:t>e</m:t>
        </m:r>
        <m:r>
          <m:t>s</m:t>
        </m:r>
        <m:r>
          <m:t>o</m:t>
        </m:r>
        <m:r>
          <m:t>f</m:t>
        </m:r>
        <m:r>
          <m:t> </m:t>
        </m:r>
      </m:oMath>
      <w:r>
        <w:t xml:space="preserve">3.20B</w:t>
      </w:r>
    </w:p>
    <w:bookmarkStart w:id="9" w:name="Xce69bbaec7b57705ab8100678b4d92723e0d6ea"/>
    <w:p>
      <w:pPr>
        <w:pStyle w:val="Heading2"/>
      </w:pPr>
      <w:r>
        <w:t xml:space="preserve">Setup: A quarter management has already told you will look ugly</w:t>
      </w:r>
    </w:p>
    <w:p>
      <w:pPr>
        <w:pStyle w:val="FirstParagraph"/>
      </w:pPr>
      <w:r>
        <w:t xml:space="preserve">Unlike most previews, investors don't need to guess much about the shape of this quarter — Molson Coors pre-announced the key swing factors on its Q1 call in April. Management guided to</w:t>
      </w:r>
      <w:r>
        <w:t xml:space="preserve"> </w:t>
      </w:r>
      <w:r>
        <w:rPr>
          <w:b/>
          <w:bCs/>
        </w:rPr>
        <w:t xml:space="preserve">U.S. shipments (STW) down 6% to 9% year-over-year in Q2</w:t>
      </w:r>
      <w:r>
        <w:t xml:space="preserve">, explicitly trailing brand-volume trends, and said this would reverse in the back half as shipments catch up to depletions. Management guided for U.S. shipments to decline 6-9% in the quarter, primarily due to planned brewery downtime, glass supply constraints, inventory timing and shipment phasing. On the Q1 call, CFO Tracey Joubert attributed this to weather/energy disruptions, brewery-upgrade downtime (notably at Shenandoah), glass-supply pinch points, and a difficult comp against elevated Q2-2025 inventory levels — all characterized as temporary rather than demand-driven.</w:t>
      </w:r>
    </w:p>
    <w:p>
      <w:pPr>
        <w:pStyle w:val="BodyText"/>
      </w:pPr>
      <w:r>
        <w:t xml:space="preserve">Consensus has moved to reflect this: analysts expect</w:t>
      </w:r>
      <w:r>
        <w:t xml:space="preserve"> </w:t>
      </w:r>
      <w:r>
        <w:rPr>
          <w:b/>
          <w:bCs/>
        </w:rPr>
        <w:t xml:space="preserve">EPS of roughly $1.51-1.52</w:t>
      </w:r>
      <w:r>
        <w:t xml:space="preserve"> </w:t>
      </w:r>
      <w:r>
        <w:t xml:space="preserve">(a ~26% decline vs.</w:t>
      </w:r>
      <w:r>
        <w:t xml:space="preserve"> </w:t>
      </w:r>
      <m:oMath>
        <m:r>
          <m:t>2.05</m:t>
        </m:r>
        <m:r>
          <m:t>a</m:t>
        </m:r>
        <m:r>
          <m:t>y</m:t>
        </m:r>
        <m:r>
          <m:t>e</m:t>
        </m:r>
        <m:r>
          <m:t>a</m:t>
        </m:r>
        <m:r>
          <m:t>r</m:t>
        </m:r>
        <m:r>
          <m:t>a</m:t>
        </m:r>
        <m:r>
          <m:t>g</m:t>
        </m:r>
        <m:r>
          <m:t>o</m:t>
        </m:r>
        <m:r>
          <m:rPr>
            <m:sty m:val="p"/>
          </m:rPr>
          <m:t>)</m:t>
        </m:r>
        <m:r>
          <m:t>o</m:t>
        </m:r>
        <m:r>
          <m:t>n</m:t>
        </m:r>
        <m:r>
          <m:rPr>
            <m:sty m:val="p"/>
          </m:rPr>
          <m:t>*</m:t>
        </m:r>
        <m:r>
          <m:rPr>
            <m:sty m:val="p"/>
          </m:rPr>
          <m:t>*</m:t>
        </m:r>
        <m:r>
          <m:t>r</m:t>
        </m:r>
        <m:r>
          <m:t>e</m:t>
        </m:r>
        <m:r>
          <m:t>v</m:t>
        </m:r>
        <m:r>
          <m:t>e</m:t>
        </m:r>
        <m:r>
          <m:t>n</m:t>
        </m:r>
        <m:r>
          <m:t>u</m:t>
        </m:r>
        <m:r>
          <m:t>e</m:t>
        </m:r>
        <m:r>
          <m:t>o</m:t>
        </m:r>
        <m:r>
          <m:t>f</m:t>
        </m:r>
        <m:r>
          <m:t> </m:t>
        </m:r>
      </m:oMath>
      <w:r>
        <w:t xml:space="preserve">3.09-3.10B** (down ~3.2-3.4% YoY). The $1.51 EPS consensus would represent a 26.3% decline from the $2.05 earned in the second quarter of 2025, while the $3.09B revenue estimate implies a 3.4% contraction from the prior-year $3.20B. Estimates have been trending lower into the print: the EPS consensus has drifted down 1.3% over the past month from $1.53, and the erosion extends further back with a 7.4% decline over the past 90 days from $1.63. The 16-analyst range spans</w:t>
      </w:r>
      <w:r>
        <w:t xml:space="preserve"> </w:t>
      </w:r>
      <m:oMath>
        <m:r>
          <m:t>1.35</m:t>
        </m:r>
        <m:r>
          <m:rPr>
            <m:sty m:val="p"/>
          </m:rPr>
          <m:t>–</m:t>
        </m:r>
      </m:oMath>
      <w:r>
        <w:t xml:space="preserve">1.62 on EPS. The consensus reflects input from 16 analysts, with EPS estimates ranging from $1.35 to $1.62 and revenue forecasts spanning $3.05B to $3.17B.</w:t>
      </w:r>
    </w:p>
    <w:bookmarkEnd w:id="9"/>
    <w:bookmarkStart w:id="10" w:name="Xc3479586560f0d5b1687e3565aa4c7ffaed5283"/>
    <w:p>
      <w:pPr>
        <w:pStyle w:val="Heading2"/>
      </w:pPr>
      <w:r>
        <w:t xml:space="preserve">Why margins are the real story, not volumes</w:t>
      </w:r>
    </w:p>
    <w:p>
      <w:pPr>
        <w:pStyle w:val="FirstParagraph"/>
      </w:pPr>
      <w:r>
        <w:t xml:space="preserve">The gap between a modest expected revenue decline (~3%) and a much steeper EPS decline (~26%) is the crux of this print, and it's driven by two things flagged well in advance:</w:t>
      </w:r>
    </w:p>
    <w:p>
      <w:pPr>
        <w:numPr>
          <w:ilvl w:val="0"/>
          <w:numId w:val="1001"/>
        </w:numPr>
      </w:pPr>
      <w:r>
        <w:rPr>
          <w:b/>
          <w:bCs/>
        </w:rPr>
        <w:t xml:space="preserve">Commodity costs peak this quarter.</w:t>
      </w:r>
      <w:r>
        <w:t xml:space="preserve"> </w:t>
      </w:r>
      <w:r>
        <w:t xml:space="preserve">Management said Midwest Premium aluminum inflation would be the largest single-quarter headwind of the year in Q2. Management indicated that Midwest Premium inflation is expected to peak in the second quarter, while higher aluminum and fuel costs are likely to weigh on margins. This follows a full-year framing set at the Q4 print, when the company said tariff-driven aluminum costs would weigh on 2026 profit by roughly $125 million and cost of goods per hectoliter had already jumped materially. A spike in the U.S. Midwest aluminum premium led to an 8.1% jump in cost of goods sold per hectoliter for Molson Coors, which relies heavily on aluminum cans for packaging.</w:t>
      </w:r>
    </w:p>
    <w:p>
      <w:pPr>
        <w:numPr>
          <w:ilvl w:val="0"/>
          <w:numId w:val="1001"/>
        </w:numPr>
      </w:pPr>
      <w:r>
        <w:rPr>
          <w:b/>
          <w:bCs/>
        </w:rPr>
        <w:t xml:space="preserve">MG&amp;A steps up sharply.</w:t>
      </w:r>
      <w:r>
        <w:t xml:space="preserve"> </w:t>
      </w:r>
      <w:r>
        <w:t xml:space="preserve">Higher incentive compensation (with the largest increase of the year landing in Q2), ERP modernization spend, and Monaco Cocktails integration costs (80+ new sales headcount) are all expected to hit in this quarter. increased incentive compensation, technology investments and Monaco Cocktails integration costs are expected to keep operating expenses elevated despite ongoing cost-saving initiatives.</w:t>
      </w:r>
    </w:p>
    <w:p>
      <w:pPr>
        <w:pStyle w:val="FirstParagraph"/>
      </w:pPr>
      <w:r>
        <w:t xml:space="preserve">Against that, Beyond Beer remains the bright spot: Molson Coors is expected to benefit from continued momentum in its Beyond Beer portfolio. Fever-Tree contributed meaningfully to Q1 top line and just launched its first U.S. national ad campaign; Topo Chico Hard Seltzer returned to growth after a regional refocus; and Monaco Cocktails (closed April 1) will contribute a partial-year of NSR — though also drags on near-term profitability as a first-year acquisition integration.</w:t>
      </w:r>
    </w:p>
    <w:bookmarkEnd w:id="10"/>
    <w:bookmarkStart w:id="11" w:name="X1b2e9a8cc8aeb5a34b28965aa5bb4b37716ff98"/>
    <w:p>
      <w:pPr>
        <w:pStyle w:val="Heading2"/>
      </w:pPr>
      <w:r>
        <w:t xml:space="preserve">Brand health: watch for progress on the "leaky bucket"</w:t>
      </w:r>
    </w:p>
    <w:p>
      <w:pPr>
        <w:pStyle w:val="FirstParagraph"/>
      </w:pPr>
      <w:r>
        <w:t xml:space="preserve">Investors should listen closely for updates on U.S. share trends, which were a soft spot in Q1 (down 60bps) even as industry volume improved. Management remains cautiously optimistic about summer occasions (World Cup, Americas 250) as demand drivers but highlights that work remains to stabilize core brands (notably Miller Lite and parts of the value segment) and to execute the portfolio transformation. On the Q1 call, CEO Rahul Goyal was candid that Miller Lite faces regionalized competitive pressure (particularly Great Lakes) and that the value segment (Keystone Light in particular) has been a long-running share drag the company is now attacking with line extensions (Keystone Apple, the reintroduced Keystone Ice) and expanded Miller High Life Light distribution. Management explicitly guided that</w:t>
      </w:r>
      <w:r>
        <w:t xml:space="preserve"> </w:t>
      </w:r>
      <w:r>
        <w:rPr>
          <w:b/>
          <w:bCs/>
        </w:rPr>
        <w:t xml:space="preserve">balance-of-year share performance should improve versus Q1</w:t>
      </w:r>
      <w:r>
        <w:t xml:space="preserve"> </w:t>
      </w:r>
      <w:r>
        <w:t xml:space="preserve">— Q2 is the first test of that claim, and it coincides with the company's largest media investment in years tied to the FIFA World Cup and America's 250th anniversary, both timed as on-premise/occasion catalysts.</w:t>
      </w:r>
    </w:p>
    <w:bookmarkEnd w:id="11"/>
    <w:bookmarkStart w:id="12" w:name="X1e142d7fc3b3e443e203c7f18e0f9dbf78367c2"/>
    <w:p>
      <w:pPr>
        <w:pStyle w:val="Heading2"/>
      </w:pPr>
      <w:r>
        <w:t xml:space="preserve">Full-year guidance: still intact, but tight</w:t>
      </w:r>
    </w:p>
    <w:p>
      <w:pPr>
        <w:pStyle w:val="FirstParagraph"/>
      </w:pPr>
      <w:r>
        <w:t xml:space="preserve">At Q1, Molson Coors reaffirmed full-year 2026 guidance despite the choppy quarterly phasing:</w:t>
      </w:r>
    </w:p>
    <w:p>
      <w:pPr>
        <w:pStyle w:val="Compact"/>
        <w:numPr>
          <w:ilvl w:val="0"/>
          <w:numId w:val="1002"/>
        </w:numPr>
      </w:pPr>
      <w:r>
        <w:t xml:space="preserve">Net sales: flat, +/- 1% (constant currency)</w:t>
      </w:r>
    </w:p>
    <w:p>
      <w:pPr>
        <w:pStyle w:val="Compact"/>
        <w:numPr>
          <w:ilvl w:val="0"/>
          <w:numId w:val="1002"/>
        </w:numPr>
      </w:pPr>
      <w:r>
        <w:t xml:space="preserve">Underlying pretax income: down 15-18% (constant currency)</w:t>
      </w:r>
    </w:p>
    <w:p>
      <w:pPr>
        <w:pStyle w:val="Compact"/>
        <w:numPr>
          <w:ilvl w:val="0"/>
          <w:numId w:val="1002"/>
        </w:numPr>
      </w:pPr>
      <w:r>
        <w:t xml:space="preserve">Underlying EPS: down 11-15%</w:t>
      </w:r>
    </w:p>
    <w:p>
      <w:pPr>
        <w:pStyle w:val="Compact"/>
        <w:numPr>
          <w:ilvl w:val="0"/>
          <w:numId w:val="1002"/>
        </w:numPr>
      </w:pPr>
      <w:r>
        <w:t xml:space="preserve">Capex: ~</w:t>
      </w:r>
      <m:oMath>
        <m:r>
          <m:t>650</m:t>
        </m:r>
        <m:r>
          <m:t>M</m:t>
        </m:r>
        <m:r>
          <m:rPr>
            <m:sty m:val="p"/>
          </m:rPr>
          <m:t>;</m:t>
        </m:r>
        <m:r>
          <m:t>u</m:t>
        </m:r>
        <m:r>
          <m:t>n</m:t>
        </m:r>
        <m:r>
          <m:t>d</m:t>
        </m:r>
        <m:r>
          <m:t>e</m:t>
        </m:r>
        <m:r>
          <m:t>r</m:t>
        </m:r>
        <m:r>
          <m:t>l</m:t>
        </m:r>
        <m:r>
          <m:t>y</m:t>
        </m:r>
        <m:r>
          <m:t>i</m:t>
        </m:r>
        <m:r>
          <m:t>n</m:t>
        </m:r>
        <m:r>
          <m:t>g</m:t>
        </m:r>
        <m:r>
          <m:t>f</m:t>
        </m:r>
        <m:r>
          <m:t>r</m:t>
        </m:r>
        <m:r>
          <m:t>e</m:t>
        </m:r>
        <m:r>
          <m:t>e</m:t>
        </m:r>
        <m:r>
          <m:t>c</m:t>
        </m:r>
        <m:r>
          <m:t>a</m:t>
        </m:r>
        <m:r>
          <m:t>s</m:t>
        </m:r>
        <m:r>
          <m:t>h</m:t>
        </m:r>
        <m:r>
          <m:t>f</m:t>
        </m:r>
        <m:r>
          <m:t>l</m:t>
        </m:r>
        <m:r>
          <m:t>o</m:t>
        </m:r>
        <m:r>
          <m:t>w</m:t>
        </m:r>
        <m:r>
          <m:rPr>
            <m:sty m:val="p"/>
          </m:rPr>
          <m:t>:</m:t>
        </m:r>
        <m:r>
          <m:t> </m:t>
        </m:r>
      </m:oMath>
      <w:r>
        <w:t xml:space="preserve">1.1B</w:t>
      </w:r>
    </w:p>
    <w:p>
      <w:pPr>
        <w:pStyle w:val="Compact"/>
        <w:numPr>
          <w:ilvl w:val="0"/>
          <w:numId w:val="1002"/>
        </w:numPr>
      </w:pPr>
      <w:r>
        <w:t xml:space="preserve">Underlying effective tax rate: 22-24%</w:t>
      </w:r>
    </w:p>
    <w:p>
      <w:pPr>
        <w:pStyle w:val="FirstParagraph"/>
      </w:pPr>
      <w:r>
        <w:t xml:space="preserve">This guidance was originally set at the Q4 2025 print in February, when the stock sold off sharply on the initial disclosure: Beer maker Molson Coors forecast a sharp drop in annual profit on Wednesday, hurt by higher aluminum tariffs and weak spending among price-sensitive consumers. Shares of the brewer fell about 6% in trading after the bell as the company also missed fourth-quarter revenue estimates. That guidance already embeds the aluminum/tariff hit and a soft consumer backdrop; the key question for Q2 is whether trends are tracking to plan or whether risk is skewing to the low end. Notably, 2025 itself was a difficult reset year — Molson Coors' net sales were down 4.8% last year compared to 2024, and the company posted a net loss of $2.1 billion for the year — so 2026 is explicitly framed as a stabilization year under new CEO Rahul Goyal's "Horizon 2030" strategy.</w:t>
      </w:r>
    </w:p>
    <w:bookmarkEnd w:id="12"/>
    <w:bookmarkStart w:id="13" w:name="balance-sheet-and-capital-returns"/>
    <w:p>
      <w:pPr>
        <w:pStyle w:val="Heading2"/>
      </w:pPr>
      <w:r>
        <w:t xml:space="preserve">Balance sheet and capital returns</w:t>
      </w:r>
    </w:p>
    <w:p>
      <w:pPr>
        <w:pStyle w:val="FirstParagraph"/>
      </w:pPr>
      <w:r>
        <w:t xml:space="preserve">Leverage ticked up to 2.51x net debt/underlying EBITDA at Q1 (seasonally normal), and management reiterated intent to end the year</w:t>
      </w:r>
      <w:r>
        <w:t xml:space="preserve"> </w:t>
      </w:r>
      <w:r>
        <w:rPr>
          <w:b/>
          <w:bCs/>
        </w:rPr>
        <w:t xml:space="preserve">below 2.5x</w:t>
      </w:r>
      <w:r>
        <w:t xml:space="preserve">. Watch for commentary on the</w:t>
      </w:r>
      <w:r>
        <w:t xml:space="preserve"> </w:t>
      </w:r>
      <w:r>
        <w:rPr>
          <w:b/>
          <w:bCs/>
        </w:rPr>
        <w:t xml:space="preserve">$2.4 billion of debt maturing in July 2026</w:t>
      </w:r>
      <w:r>
        <w:t xml:space="preserve">, for which the company has approval to refinance</w:t>
      </w:r>
      <w:r>
        <w:t xml:space="preserve"> </w:t>
      </w:r>
      <m:oMath>
        <m:r>
          <m:t>1.1</m:t>
        </m:r>
        <m:r>
          <m:rPr>
            <m:sty m:val="p"/>
          </m:rPr>
          <m:t>–</m:t>
        </m:r>
        <m:r>
          <m:t>1.9</m:t>
        </m:r>
        <m:r>
          <m:t>b</m:t>
        </m:r>
        <m:r>
          <m:t>i</m:t>
        </m:r>
        <m:r>
          <m:t>l</m:t>
        </m:r>
        <m:r>
          <m:t>l</m:t>
        </m:r>
        <m:r>
          <m:t>i</m:t>
        </m:r>
        <m:r>
          <m:t>o</m:t>
        </m:r>
        <m:r>
          <m:t>n</m:t>
        </m:r>
        <m:r>
          <m:rPr>
            <m:sty m:val="p"/>
          </m:rPr>
          <m:t>—</m:t>
        </m:r>
        <m:r>
          <m:t>a</m:t>
        </m:r>
        <m:r>
          <m:t>r</m:t>
        </m:r>
        <m:r>
          <m:t>e</m:t>
        </m:r>
        <m:r>
          <m:t>a</m:t>
        </m:r>
        <m:r>
          <m:t>l</m:t>
        </m:r>
        <m:r>
          <m:t>n</m:t>
        </m:r>
        <m:r>
          <m:t>e</m:t>
        </m:r>
        <m:r>
          <m:t>a</m:t>
        </m:r>
        <m:r>
          <m:t>r</m:t>
        </m:r>
        <m:r>
          <m:rPr>
            <m:sty m:val="p"/>
          </m:rPr>
          <m:t>−</m:t>
        </m:r>
        <m:r>
          <m:t>t</m:t>
        </m:r>
        <m:r>
          <m:t>e</m:t>
        </m:r>
        <m:r>
          <m:t>r</m:t>
        </m:r>
        <m:r>
          <m:t>m</m:t>
        </m:r>
        <m:r>
          <m:t>b</m:t>
        </m:r>
        <m:r>
          <m:t>a</m:t>
        </m:r>
        <m:r>
          <m:t>l</m:t>
        </m:r>
        <m:r>
          <m:t>a</m:t>
        </m:r>
        <m:r>
          <m:t>n</m:t>
        </m:r>
        <m:r>
          <m:t>c</m:t>
        </m:r>
        <m:r>
          <m:t>e</m:t>
        </m:r>
        <m:r>
          <m:rPr>
            <m:sty m:val="p"/>
          </m:rPr>
          <m:t>−</m:t>
        </m:r>
        <m:r>
          <m:t>s</m:t>
        </m:r>
        <m:r>
          <m:t>h</m:t>
        </m:r>
        <m:r>
          <m:t>e</m:t>
        </m:r>
        <m:r>
          <m:t>e</m:t>
        </m:r>
        <m:r>
          <m:t>t</m:t>
        </m:r>
        <m:r>
          <m:t>e</m:t>
        </m:r>
        <m:r>
          <m:t>v</m:t>
        </m:r>
        <m:r>
          <m:t>e</m:t>
        </m:r>
        <m:r>
          <m:t>n</m:t>
        </m:r>
        <m:r>
          <m:t>t</m:t>
        </m:r>
        <m:r>
          <m:t>t</m:t>
        </m:r>
        <m:r>
          <m:t>h</m:t>
        </m:r>
        <m:r>
          <m:t>a</m:t>
        </m:r>
        <m:r>
          <m:t>t</m:t>
        </m:r>
        <m:r>
          <m:t>w</m:t>
        </m:r>
        <m:r>
          <m:t>i</m:t>
        </m:r>
        <m:r>
          <m:t>l</m:t>
        </m:r>
        <m:r>
          <m:t>l</m:t>
        </m:r>
        <m:r>
          <m:t>h</m:t>
        </m:r>
        <m:r>
          <m:t>a</m:t>
        </m:r>
        <m:r>
          <m:t>v</m:t>
        </m:r>
        <m:r>
          <m:t>e</m:t>
        </m:r>
        <m:r>
          <m:t>o</m:t>
        </m:r>
        <m:r>
          <m:t>c</m:t>
        </m:r>
        <m:r>
          <m:t>c</m:t>
        </m:r>
        <m:r>
          <m:t>u</m:t>
        </m:r>
        <m:r>
          <m:t>r</m:t>
        </m:r>
        <m:r>
          <m:t>r</m:t>
        </m:r>
        <m:r>
          <m:t>e</m:t>
        </m:r>
        <m:r>
          <m:t>d</m:t>
        </m:r>
        <m:r>
          <m:t>j</m:t>
        </m:r>
        <m:r>
          <m:t>u</m:t>
        </m:r>
        <m:r>
          <m:t>s</m:t>
        </m:r>
        <m:r>
          <m:t>t</m:t>
        </m:r>
        <m:r>
          <m:t>b</m:t>
        </m:r>
        <m:r>
          <m:t>e</m:t>
        </m:r>
        <m:r>
          <m:t>f</m:t>
        </m:r>
        <m:r>
          <m:t>o</m:t>
        </m:r>
        <m:r>
          <m:t>r</m:t>
        </m:r>
        <m:r>
          <m:t>e</m:t>
        </m:r>
        <m:r>
          <m:t>t</m:t>
        </m:r>
        <m:r>
          <m:t>h</m:t>
        </m:r>
        <m:r>
          <m:t>i</m:t>
        </m:r>
        <m:r>
          <m:t>s</m:t>
        </m:r>
        <m:r>
          <m:t>p</m:t>
        </m:r>
        <m:r>
          <m:t>r</m:t>
        </m:r>
        <m:r>
          <m:t>i</m:t>
        </m:r>
        <m:r>
          <m:t>n</m:t>
        </m:r>
        <m:r>
          <m:t>t</m:t>
        </m:r>
        <m:r>
          <m:rPr>
            <m:sty m:val="p"/>
          </m:rPr>
          <m:t>.</m:t>
        </m:r>
        <m:r>
          <m:t>C</m:t>
        </m:r>
        <m:r>
          <m:t>a</m:t>
        </m:r>
        <m:r>
          <m:t>p</m:t>
        </m:r>
        <m:r>
          <m:t>i</m:t>
        </m:r>
        <m:r>
          <m:t>t</m:t>
        </m:r>
        <m:r>
          <m:t>a</m:t>
        </m:r>
        <m:r>
          <m:t>l</m:t>
        </m:r>
        <m:r>
          <m:t>r</m:t>
        </m:r>
        <m:r>
          <m:t>e</m:t>
        </m:r>
        <m:r>
          <m:t>t</m:t>
        </m:r>
        <m:r>
          <m:t>u</m:t>
        </m:r>
        <m:r>
          <m:t>r</m:t>
        </m:r>
        <m:r>
          <m:t>n</m:t>
        </m:r>
        <m:r>
          <m:t>r</m:t>
        </m:r>
        <m:r>
          <m:t>e</m:t>
        </m:r>
        <m:r>
          <m:t>m</m:t>
        </m:r>
        <m:r>
          <m:t>a</m:t>
        </m:r>
        <m:r>
          <m:t>i</m:t>
        </m:r>
        <m:r>
          <m:t>n</m:t>
        </m:r>
        <m:r>
          <m:t>s</m:t>
        </m:r>
        <m:r>
          <m:t>a</m:t>
        </m:r>
        <m:r>
          <m:t>c</m:t>
        </m:r>
        <m:r>
          <m:t>t</m:t>
        </m:r>
        <m:r>
          <m:t>i</m:t>
        </m:r>
        <m:r>
          <m:t>v</m:t>
        </m:r>
        <m:r>
          <m:t>e</m:t>
        </m:r>
        <m:r>
          <m:rPr>
            <m:sty m:val="p"/>
          </m:rPr>
          <m:t>:</m:t>
        </m:r>
        <m:r>
          <m:t>t</m:t>
        </m:r>
        <m:r>
          <m:t>h</m:t>
        </m:r>
        <m:r>
          <m:t>e</m:t>
        </m:r>
        <m:r>
          <m:t>b</m:t>
        </m:r>
        <m:r>
          <m:t>o</m:t>
        </m:r>
        <m:r>
          <m:t>a</m:t>
        </m:r>
        <m:r>
          <m:t>r</m:t>
        </m:r>
        <m:r>
          <m:t>d</m:t>
        </m:r>
        <m:r>
          <m:t>e</m:t>
        </m:r>
        <m:r>
          <m:t>x</m:t>
        </m:r>
        <m:r>
          <m:t>t</m:t>
        </m:r>
        <m:r>
          <m:t>e</m:t>
        </m:r>
        <m:r>
          <m:t>n</m:t>
        </m:r>
        <m:r>
          <m:t>d</m:t>
        </m:r>
        <m:r>
          <m:t>e</m:t>
        </m:r>
        <m:r>
          <m:t>d</m:t>
        </m:r>
        <m:r>
          <m:t>t</m:t>
        </m:r>
        <m:r>
          <m:t>h</m:t>
        </m:r>
        <m:r>
          <m:t>e</m:t>
        </m:r>
        <m:r>
          <m:t>b</m:t>
        </m:r>
        <m:r>
          <m:t>u</m:t>
        </m:r>
        <m:r>
          <m:t>y</m:t>
        </m:r>
        <m:r>
          <m:t>b</m:t>
        </m:r>
        <m:r>
          <m:t>a</m:t>
        </m:r>
        <m:r>
          <m:t>c</m:t>
        </m:r>
        <m:r>
          <m:t>k</m:t>
        </m:r>
        <m:r>
          <m:t>a</m:t>
        </m:r>
        <m:r>
          <m:t>u</m:t>
        </m:r>
        <m:r>
          <m:t>t</m:t>
        </m:r>
        <m:r>
          <m:t>h</m:t>
        </m:r>
        <m:r>
          <m:t>o</m:t>
        </m:r>
        <m:r>
          <m:t>r</m:t>
        </m:r>
        <m:r>
          <m:t>i</m:t>
        </m:r>
        <m:r>
          <m:t>z</m:t>
        </m:r>
        <m:r>
          <m:t>a</m:t>
        </m:r>
        <m:r>
          <m:t>t</m:t>
        </m:r>
        <m:r>
          <m:t>i</m:t>
        </m:r>
        <m:r>
          <m:t>o</m:t>
        </m:r>
        <m:r>
          <m:t>n</m:t>
        </m:r>
        <m:r>
          <m:t>t</m:t>
        </m:r>
        <m:r>
          <m:t>o</m:t>
        </m:r>
        <m:r>
          <m:rPr>
            <m:sty m:val="p"/>
          </m:rPr>
          <m:t>*</m:t>
        </m:r>
        <m:r>
          <m:rPr>
            <m:sty m:val="p"/>
          </m:rPr>
          <m:t>*</m:t>
        </m:r>
      </m:oMath>
      <w:r>
        <w:t xml:space="preserve">4 billion through December 2031**, and the company has repurchased 14.8% of Class B shares outstanding since October 2023, alongside a fifth consecutive annual dividend increase (to $0.48/quarter). Any change in repurchase pace given the debt refinancing and elevated leverage would be a notable signal.</w:t>
      </w:r>
    </w:p>
    <w:bookmarkEnd w:id="13"/>
    <w:bookmarkStart w:id="14" w:name="stock-setup-into-the-print"/>
    <w:p>
      <w:pPr>
        <w:pStyle w:val="Heading2"/>
      </w:pPr>
      <w:r>
        <w:t xml:space="preserve">Stock setup into the print</w:t>
      </w:r>
    </w:p>
    <w:p>
      <w:pPr>
        <w:pStyle w:val="FirstParagraph"/>
      </w:pPr>
      <w:r>
        <w:t xml:space="preserve">TAP shares have been in a steady downtrend for most of 2026, falling from the high-</w:t>
      </w:r>
      <m:oMath>
        <m:r>
          <m:t>40</m:t>
        </m:r>
        <m:r>
          <m:t>s</m:t>
        </m:r>
        <m:r>
          <m:rPr>
            <m:sty m:val="p"/>
          </m:rPr>
          <m:t>/</m:t>
        </m:r>
        <m:r>
          <m:t>l</m:t>
        </m:r>
        <m:r>
          <m:t>o</m:t>
        </m:r>
        <m:r>
          <m:t>w</m:t>
        </m:r>
        <m:r>
          <m:rPr>
            <m:sty m:val="p"/>
          </m:rPr>
          <m:t>−</m:t>
        </m:r>
      </m:oMath>
      <w:r>
        <w:t xml:space="preserve">50s in January-February (post-Q4 sell-off) to the</w:t>
      </w:r>
      <w:r>
        <w:t xml:space="preserve"> </w:t>
      </w:r>
      <m:oMath>
        <m:r>
          <m:t>38</m:t>
        </m:r>
        <m:r>
          <m:rPr>
            <m:sty m:val="p"/>
          </m:rPr>
          <m:t>−</m:t>
        </m:r>
        <m:r>
          <m:t>42</m:t>
        </m:r>
        <m:r>
          <m:t>r</m:t>
        </m:r>
        <m:r>
          <m:t>a</m:t>
        </m:r>
        <m:r>
          <m:t>n</m:t>
        </m:r>
        <m:r>
          <m:t>g</m:t>
        </m:r>
        <m:r>
          <m:t>e</m:t>
        </m:r>
        <m:r>
          <m:t>t</m:t>
        </m:r>
        <m:r>
          <m:t>h</m:t>
        </m:r>
        <m:r>
          <m:t>r</m:t>
        </m:r>
        <m:r>
          <m:t>o</m:t>
        </m:r>
        <m:r>
          <m:t>u</m:t>
        </m:r>
        <m:r>
          <m:t>g</m:t>
        </m:r>
        <m:r>
          <m:t>h</m:t>
        </m:r>
        <m:r>
          <m:t>t</m:t>
        </m:r>
        <m:r>
          <m:t>h</m:t>
        </m:r>
        <m:r>
          <m:t>e</m:t>
        </m:r>
        <m:r>
          <m:t>s</m:t>
        </m:r>
        <m:r>
          <m:t>u</m:t>
        </m:r>
        <m:r>
          <m:t>m</m:t>
        </m:r>
        <m:r>
          <m:t>m</m:t>
        </m:r>
        <m:r>
          <m:t>e</m:t>
        </m:r>
        <m:r>
          <m:t>r</m:t>
        </m:r>
        <m:r>
          <m:rPr>
            <m:sty m:val="p"/>
          </m:rPr>
          <m:t>,</m:t>
        </m:r>
        <m:r>
          <m:t>c</m:t>
        </m:r>
        <m:r>
          <m:t>l</m:t>
        </m:r>
        <m:r>
          <m:t>o</m:t>
        </m:r>
        <m:r>
          <m:t>s</m:t>
        </m:r>
        <m:r>
          <m:t>i</m:t>
        </m:r>
        <m:r>
          <m:t>n</m:t>
        </m:r>
        <m:r>
          <m:t>g</m:t>
        </m:r>
        <m:r>
          <m:t>a</m:t>
        </m:r>
        <m:r>
          <m:t>t</m:t>
        </m:r>
        <m:r>
          <m:rPr>
            <m:sty m:val="p"/>
          </m:rPr>
          <m:t>*</m:t>
        </m:r>
        <m:r>
          <m:rPr>
            <m:sty m:val="p"/>
          </m:rPr>
          <m:t>*</m:t>
        </m:r>
      </m:oMath>
      <w:r>
        <w:t xml:space="preserve">41.88 on August 5**, roughly flat over the past three months versus a rising peer group. The recent market movements show that TAP shares have lost 1.4% in the past three months against the industry's 8.6% rise. Valuation looks depressed relative to history and peers: a forward 12-month price-to-earnings ratio of 8.47X, which is below the five-year high of 10.26X and the Beverages - Alcohol industry's average of 15.96X. Sell-side sentiment is cautiously mixed — analysts' consensus opinion on TAP stock is cautious, with a "Hold" rating overall, with four "Strong Buy," one "Moderate Buy," 12 "Hold," one "Moderate Sell," and two "Strong Sell" ratings — with an average price target modestly above current levels.</w:t>
      </w:r>
    </w:p>
    <w:p>
      <w:pPr>
        <w:pStyle w:val="BodyText"/>
      </w:pPr>
      <w:r>
        <w:t xml:space="preserve">On execution track record, the company beat estimates in Q1 (GAAP EPS $0.80 vs. a much lower estimate) and has generally beaten more often than missed recently: analysts expect TAP to report a profit of $1.52 per share on a diluted basis, down 25.9% from $2.05 per share in the year-ago quarter, and the company beat the consensus estimates in three of the last four quarters while missing the forecast on another occasion.</w:t>
      </w:r>
    </w:p>
    <w:bookmarkEnd w:id="14"/>
    <w:bookmarkStart w:id="15" w:name="key-questions-for-the-call"/>
    <w:p>
      <w:pPr>
        <w:pStyle w:val="Heading2"/>
      </w:pPr>
      <w:r>
        <w:t xml:space="preserve">Key questions for the call</w:t>
      </w:r>
    </w:p>
    <w:p>
      <w:pPr>
        <w:pStyle w:val="Compact"/>
        <w:numPr>
          <w:ilvl w:val="0"/>
          <w:numId w:val="1003"/>
        </w:numPr>
      </w:pPr>
      <w:r>
        <w:rPr>
          <w:b/>
          <w:bCs/>
        </w:rPr>
        <w:t xml:space="preserve">Did Q2 shipments land within the guided -6% to -9% range, and is the "catch-up" in H2 shipments still credible?</w:t>
      </w:r>
    </w:p>
    <w:p>
      <w:pPr>
        <w:pStyle w:val="Compact"/>
        <w:numPr>
          <w:ilvl w:val="0"/>
          <w:numId w:val="1003"/>
        </w:numPr>
      </w:pPr>
      <w:r>
        <w:rPr>
          <w:b/>
          <w:bCs/>
        </w:rPr>
        <w:t xml:space="preserve">Did U.S. share performance actually improve vs. Q1</w:t>
      </w:r>
      <w:r>
        <w:t xml:space="preserve">, particularly for Miller Lite and the value portfolio (Keystone, High Life)?</w:t>
      </w:r>
    </w:p>
    <w:p>
      <w:pPr>
        <w:pStyle w:val="Compact"/>
        <w:numPr>
          <w:ilvl w:val="0"/>
          <w:numId w:val="1003"/>
        </w:numPr>
      </w:pPr>
      <w:r>
        <w:rPr>
          <w:b/>
          <w:bCs/>
        </w:rPr>
        <w:t xml:space="preserve">Is the $125M full-year aluminum/Midwest Premium cost headwind still on track</w:t>
      </w:r>
      <w:r>
        <w:t xml:space="preserve">, and how much hedge coverage cushions any further spot-price moves?</w:t>
      </w:r>
    </w:p>
    <w:p>
      <w:pPr>
        <w:pStyle w:val="Compact"/>
        <w:numPr>
          <w:ilvl w:val="0"/>
          <w:numId w:val="1003"/>
        </w:numPr>
      </w:pPr>
      <w:r>
        <w:rPr>
          <w:b/>
          <w:bCs/>
        </w:rPr>
        <w:t xml:space="preserve">How is Monaco Cocktails integration trending</w:t>
      </w:r>
      <w:r>
        <w:t xml:space="preserve">, and is Beyond Beer (Fever-Tree, Topo Chico, Monaco) still on pace to approach management's ~10% of NSR ambition?</w:t>
      </w:r>
    </w:p>
    <w:p>
      <w:pPr>
        <w:pStyle w:val="Compact"/>
        <w:numPr>
          <w:ilvl w:val="0"/>
          <w:numId w:val="1003"/>
        </w:numPr>
      </w:pPr>
      <w:r>
        <w:rPr>
          <w:b/>
          <w:bCs/>
        </w:rPr>
        <w:t xml:space="preserve">World Cup / Americas 250th read-through</w:t>
      </w:r>
      <w:r>
        <w:t xml:space="preserve"> </w:t>
      </w:r>
      <w:r>
        <w:t xml:space="preserve">— any early signal on incremental on-premise volume or share gains from this summer's marketing push, which management called its largest sports-media investment in years?</w:t>
      </w:r>
    </w:p>
    <w:p>
      <w:pPr>
        <w:pStyle w:val="Compact"/>
        <w:numPr>
          <w:ilvl w:val="0"/>
          <w:numId w:val="1003"/>
        </w:numPr>
      </w:pPr>
      <w:r>
        <w:rPr>
          <w:b/>
          <w:bCs/>
        </w:rPr>
        <w:t xml:space="preserve">Capital allocation post-refinancing</w:t>
      </w:r>
      <w:r>
        <w:t xml:space="preserve"> </w:t>
      </w:r>
      <w:r>
        <w:t xml:space="preserve">— pace of buybacks and confirmation of the sub-2.5x leverage target by year-end.</w:t>
      </w:r>
    </w:p>
    <w:p>
      <w:pPr>
        <w:pStyle w:val="Compact"/>
        <w:numPr>
          <w:ilvl w:val="0"/>
          <w:numId w:val="1003"/>
        </w:numPr>
      </w:pPr>
      <w:r>
        <w:rPr>
          <w:b/>
          <w:bCs/>
        </w:rPr>
        <w:t xml:space="preserve">Any change to full-year guidance</w:t>
      </w:r>
      <w:r>
        <w:t xml:space="preserve"> </w:t>
      </w:r>
      <w:r>
        <w:t xml:space="preserve">(net sales flat +/-1%; EPS down 11-15%) given commodity or demand developments since April.</w:t>
      </w:r>
    </w:p>
    <w:p>
      <w:pPr>
        <w:pStyle w:val="FirstParagraph"/>
      </w:pPr>
      <w:r>
        <w:t xml:space="preserve">Given how explicitly management pre-guided the ugly optics of this quarter (volume shortfall, peak cost inflation, step-up in MG&amp;A), the actual print may matter less than</w:t>
      </w:r>
      <w:r>
        <w:t xml:space="preserve"> </w:t>
      </w:r>
      <w:r>
        <w:rPr>
          <w:b/>
          <w:bCs/>
        </w:rPr>
        <w:t xml:space="preserve">forward commentary on H2 execution, share stabilization, and reaffirmation (or not) of full-year guidance</w:t>
      </w:r>
      <w:r>
        <w:t xml:space="preserve"> </w:t>
      </w:r>
      <w:r>
        <w:t xml:space="preserve">— that's where the stock's next move is more likely to be decided.</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2026-08-06T00:21:12Z</dcterms:created>
  <dcterms:modified xsi:type="dcterms:W3CDTF">2026-08-06T00:21:12Z</dcterms:modified>
</cp:coreProperties>
</file>

<file path=docProps/custom.xml><?xml version="1.0" encoding="utf-8"?>
<Properties xmlns="http://schemas.openxmlformats.org/officeDocument/2006/custom-properties" xmlns:vt="http://schemas.openxmlformats.org/officeDocument/2006/docPropsVTypes"/>
</file>