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ap-earnings-predictions--2026-08-06"/>
    <w:p>
      <w:pPr>
        <w:pStyle w:val="Heading1"/>
      </w:pPr>
      <w:r>
        <w:t xml:space="preserve">TAP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underlying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~$1.55 vs. cons $1.52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~$3.07B vs. cons $3.086B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U.S. financial volume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~-8.3% vs. cons -7.5%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Underlying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~$4.72 vs. cons $4.77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~$11.14B vs. cons $11.12B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Underlying free cash flow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~$1.10B vs. cons $1.08B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-3.8% (FOLLOW-THROUGH)</w:t>
            </w:r>
          </w:p>
        </w:tc>
        <w:tc>
          <w:tcPr/>
          <w:p>
            <w:pPr>
              <w:pStyle w:val="Compact"/>
            </w:pPr>
            <w:r>
              <w:t xml:space="preserve">Weak U.S. volume quality and an FY2026 EPS guide midpoint of ~$4.72 vs. consensus $4.77 should outweigh a modest Q2 EPS beat, prompting lower second-half and 2027 estimates after the call.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2026-08-06T00:25:11Z</dcterms:created>
  <dcterms:modified xsi:type="dcterms:W3CDTF">2026-08-06T00:25:11Z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