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89b72ea8ea078ac185349c297401808af95688"/>
    <w:p>
      <w:pPr>
        <w:pStyle w:val="Heading1"/>
      </w:pPr>
      <w:r>
        <w:t xml:space="preserve">Molson Coors (TAP) 2026 Q2 Earnings Preview</w:t>
      </w:r>
    </w:p>
    <w:p>
      <w:pPr>
        <w:pStyle w:val="BlockText"/>
      </w:pPr>
      <w:r>
        <w:rPr>
          <w:b/>
          <w:bCs/>
        </w:rPr>
        <w:t xml:space="preserve">Timing note:</w:t>
      </w:r>
      <w:r>
        <w:t xml:space="preserve"> </w:t>
      </w:r>
      <w:r>
        <w:t xml:space="preserve">The supplied event date—</w:t>
      </w:r>
      <w:r>
        <w:rPr>
          <w:b/>
          <w:bCs/>
        </w:rPr>
        <w:t xml:space="preserve">August 6, 2026</w:t>
      </w:r>
      <w:r>
        <w:t xml:space="preserve">—is today, not tomorrow. This preview treats the report as still upcoming on August 6.</w:t>
      </w:r>
    </w:p>
    <w:bookmarkStart w:id="9" w:name="investment-view-going-into-the-report"/>
    <w:p>
      <w:pPr>
        <w:pStyle w:val="Heading2"/>
      </w:pPr>
      <w:r>
        <w:t xml:space="preserve">Investment view going into the report</w:t>
      </w:r>
    </w:p>
    <w:p>
      <w:pPr>
        <w:pStyle w:val="FirstParagraph"/>
      </w:pPr>
      <w:r>
        <w:rPr>
          <w:b/>
          <w:bCs/>
        </w:rPr>
        <w:t xml:space="preserve">Expect a weak-looking quarter; the real debate is whether Q2 represents the earnings trough.</w:t>
      </w:r>
    </w:p>
    <w:p>
      <w:pPr>
        <w:pStyle w:val="BodyText"/>
      </w:pPr>
      <w:r>
        <w:t xml:space="preserve">Molson Coors already warned that Q2 would combine:</w:t>
      </w:r>
    </w:p>
    <w:p>
      <w:pPr>
        <w:pStyle w:val="Compact"/>
        <w:numPr>
          <w:ilvl w:val="0"/>
          <w:numId w:val="1001"/>
        </w:numPr>
      </w:pPr>
      <w:r>
        <w:t xml:space="preserve">A</w:t>
      </w:r>
      <w:r>
        <w:t xml:space="preserve"> </w:t>
      </w:r>
      <w:r>
        <w:rPr>
          <w:b/>
          <w:bCs/>
        </w:rPr>
        <w:t xml:space="preserve">6%–9% decline in U.S. financial volumes</w:t>
      </w:r>
    </w:p>
    <w:p>
      <w:pPr>
        <w:pStyle w:val="Compact"/>
        <w:numPr>
          <w:ilvl w:val="0"/>
          <w:numId w:val="1001"/>
        </w:numPr>
      </w:pPr>
      <w:r>
        <w:t xml:space="preserve">The year’s largest increase in aluminum Midwest Premium costs</w:t>
      </w:r>
    </w:p>
    <w:p>
      <w:pPr>
        <w:pStyle w:val="Compact"/>
        <w:numPr>
          <w:ilvl w:val="0"/>
          <w:numId w:val="1001"/>
        </w:numPr>
      </w:pPr>
      <w:r>
        <w:t xml:space="preserve">A sharp year-over-year increase in marketing and corporate expenses</w:t>
      </w:r>
    </w:p>
    <w:p>
      <w:pPr>
        <w:pStyle w:val="Compact"/>
        <w:numPr>
          <w:ilvl w:val="0"/>
          <w:numId w:val="1001"/>
        </w:numPr>
      </w:pPr>
      <w:r>
        <w:t xml:space="preserve">Temporary supply-chain constraints and brewery downtime</w:t>
      </w:r>
    </w:p>
    <w:p>
      <w:pPr>
        <w:pStyle w:val="Compact"/>
        <w:numPr>
          <w:ilvl w:val="0"/>
          <w:numId w:val="1001"/>
        </w:numPr>
      </w:pPr>
      <w:r>
        <w:t xml:space="preserve">Continued pressure on U.S. market share and the U.K. beer market</w:t>
      </w:r>
    </w:p>
    <w:p>
      <w:pPr>
        <w:pStyle w:val="FirstParagraph"/>
      </w:pPr>
      <w:r>
        <w:t xml:space="preserve">Accordingly, the stock’s reaction should depend less on whether Q2 earnings decline and more on three questions:</w:t>
      </w:r>
    </w:p>
    <w:p>
      <w:pPr>
        <w:pStyle w:val="Compact"/>
        <w:numPr>
          <w:ilvl w:val="0"/>
          <w:numId w:val="1002"/>
        </w:numPr>
      </w:pPr>
      <w:r>
        <w:rPr>
          <w:b/>
          <w:bCs/>
        </w:rPr>
        <w:t xml:space="preserve">Did consumer demand and brand volumes outperform the much weaker shipment number?</w:t>
      </w:r>
    </w:p>
    <w:p>
      <w:pPr>
        <w:pStyle w:val="Compact"/>
        <w:numPr>
          <w:ilvl w:val="0"/>
          <w:numId w:val="1002"/>
        </w:numPr>
      </w:pPr>
      <w:r>
        <w:rPr>
          <w:b/>
          <w:bCs/>
        </w:rPr>
        <w:t xml:space="preserve">Does management still expect shipments, margins and market share to improve in the second half?</w:t>
      </w:r>
    </w:p>
    <w:p>
      <w:pPr>
        <w:pStyle w:val="Compact"/>
        <w:numPr>
          <w:ilvl w:val="0"/>
          <w:numId w:val="1002"/>
        </w:numPr>
      </w:pPr>
      <w:r>
        <w:rPr>
          <w:b/>
          <w:bCs/>
        </w:rPr>
        <w:t xml:space="preserve">Can Molson Coors reaffirm full-year guidance without relying on increasingly aggressive assumptions?</w:t>
      </w:r>
    </w:p>
    <w:p>
      <w:pPr>
        <w:pStyle w:val="FirstParagraph"/>
      </w:pPr>
      <w:r>
        <w:t xml:space="preserve">A clean guidance reaffirmation accompanied by improving U.S. consumption trends would support the argument that most of the bad news is already reflected in TAP’s valuation. A guidance reduction—particularly one caused by deteriorating brand volumes rather than cost timing—would undermine that thesis.</w:t>
      </w:r>
    </w:p>
    <w:p>
      <w:r>
        <w:pict>
          <v:rect style="width:0;height:1.5pt" o:hralign="center" o:hrstd="t" o:hr="t"/>
        </w:pict>
      </w:r>
    </w:p>
    <w:bookmarkEnd w:id="9"/>
    <w:bookmarkStart w:id="12" w:name="the-setup"/>
    <w:p>
      <w:pPr>
        <w:pStyle w:val="Heading2"/>
      </w:pPr>
      <w:r>
        <w:t xml:space="preserve">The setup</w:t>
      </w:r>
    </w:p>
    <w:bookmarkStart w:id="10" w:name="q1-performance"/>
    <w:p>
      <w:pPr>
        <w:pStyle w:val="Heading3"/>
      </w:pPr>
      <w:r>
        <w:t xml:space="preserve">Q1 performance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Q1 result</w:t>
            </w:r>
          </w:p>
        </w:tc>
      </w:tr>
      <w:tr>
        <w:tc>
          <w:tcPr/>
          <w:p>
            <w:pPr>
              <w:pStyle w:val="Compact"/>
            </w:pPr>
            <w:r>
              <w:t xml:space="preserve">Net sales</w:t>
            </w:r>
          </w:p>
        </w:tc>
        <w:tc>
          <w:tcPr/>
          <w:p>
            <w:pPr>
              <w:pStyle w:val="Compact"/>
              <w:jc w:val="right"/>
            </w:pPr>
            <w:r>
              <w:rPr>
                <w:b/>
                <w:bCs/>
              </w:rPr>
              <w:t xml:space="preserve">$2.35 billion</w:t>
            </w:r>
            <w:r>
              <w:t xml:space="preserve">, +0.1% constant currency</w:t>
            </w:r>
          </w:p>
        </w:tc>
      </w:tr>
      <w:tr>
        <w:tc>
          <w:tcPr/>
          <w:p>
            <w:pPr>
              <w:pStyle w:val="Compact"/>
            </w:pPr>
            <w:r>
              <w:t xml:space="preserve">Worldwide brand volume</w:t>
            </w:r>
          </w:p>
        </w:tc>
        <w:tc>
          <w:tcPr/>
          <w:p>
            <w:pPr>
              <w:pStyle w:val="Compact"/>
              <w:jc w:val="right"/>
            </w:pPr>
            <w:r>
              <w:rPr>
                <w:b/>
                <w:bCs/>
              </w:rPr>
              <w:t xml:space="preserve">-3.1%</w:t>
            </w:r>
          </w:p>
        </w:tc>
      </w:tr>
      <w:tr>
        <w:tc>
          <w:tcPr/>
          <w:p>
            <w:pPr>
              <w:pStyle w:val="Compact"/>
            </w:pPr>
            <w:r>
              <w:t xml:space="preserve">U.S. brand volume</w:t>
            </w:r>
          </w:p>
        </w:tc>
        <w:tc>
          <w:tcPr/>
          <w:p>
            <w:pPr>
              <w:pStyle w:val="Compact"/>
              <w:jc w:val="right"/>
            </w:pPr>
            <w:r>
              <w:rPr>
                <w:b/>
                <w:bCs/>
              </w:rPr>
              <w:t xml:space="preserve">-3.5%</w:t>
            </w:r>
          </w:p>
        </w:tc>
      </w:tr>
      <w:tr>
        <w:tc>
          <w:tcPr/>
          <w:p>
            <w:pPr>
              <w:pStyle w:val="Compact"/>
            </w:pPr>
            <w:r>
              <w:t xml:space="preserve">Underlying pretax income</w:t>
            </w:r>
          </w:p>
        </w:tc>
        <w:tc>
          <w:tcPr/>
          <w:p>
            <w:pPr>
              <w:pStyle w:val="Compact"/>
              <w:jc w:val="right"/>
            </w:pPr>
            <w:r>
              <w:rPr>
                <w:b/>
                <w:bCs/>
              </w:rPr>
              <w:t xml:space="preserve">$147.9 million</w:t>
            </w:r>
            <w:r>
              <w:t xml:space="preserve">, +16.2% constant currency</w:t>
            </w:r>
          </w:p>
        </w:tc>
      </w:tr>
      <w:tr>
        <w:tc>
          <w:tcPr/>
          <w:p>
            <w:pPr>
              <w:pStyle w:val="Compact"/>
            </w:pPr>
            <w:r>
              <w:t xml:space="preserve">Underlying EPS</w:t>
            </w:r>
          </w:p>
        </w:tc>
        <w:tc>
          <w:tcPr/>
          <w:p>
            <w:pPr>
              <w:pStyle w:val="Compact"/>
              <w:jc w:val="right"/>
            </w:pPr>
            <w:r>
              <w:rPr>
                <w:b/>
                <w:bCs/>
              </w:rPr>
              <w:t xml:space="preserve">$0.62</w:t>
            </w:r>
            <w:r>
              <w:t xml:space="preserve">, +24.0%</w:t>
            </w:r>
          </w:p>
        </w:tc>
      </w:tr>
      <w:tr>
        <w:tc>
          <w:tcPr/>
          <w:p>
            <w:pPr>
              <w:pStyle w:val="Compact"/>
            </w:pPr>
            <w:r>
              <w:t xml:space="preserve">Net debt / underlying EBITDA</w:t>
            </w:r>
          </w:p>
        </w:tc>
        <w:tc>
          <w:tcPr/>
          <w:p>
            <w:pPr>
              <w:pStyle w:val="Compact"/>
              <w:jc w:val="right"/>
            </w:pPr>
            <w:r>
              <w:rPr>
                <w:b/>
                <w:bCs/>
              </w:rPr>
              <w:t xml:space="preserve">2.51x</w:t>
            </w:r>
          </w:p>
        </w:tc>
      </w:tr>
    </w:tbl>
    <w:p>
      <w:pPr>
        <w:pStyle w:val="BodyText"/>
      </w:pPr>
      <w:r>
        <w:t xml:space="preserve">Q1 earnings were helped by expense timing, lower employee costs, the absence of approximately $30 million of prior-year Fever-Tree transition costs and continued share repurchases. Those benefits make Q1 a poor run-rate quarter: management explicitly said MG&amp;A and commodity pressure would intensify in Q2.</w:t>
      </w:r>
    </w:p>
    <w:bookmarkEnd w:id="10"/>
    <w:bookmarkStart w:id="11" w:name="q2-comparison-base"/>
    <w:p>
      <w:pPr>
        <w:pStyle w:val="Heading3"/>
      </w:pPr>
      <w:r>
        <w:t xml:space="preserve">Q2 comparison base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2025 Q2</w:t>
            </w:r>
          </w:p>
        </w:tc>
      </w:tr>
      <w:tr>
        <w:tc>
          <w:tcPr/>
          <w:p>
            <w:pPr>
              <w:pStyle w:val="Compact"/>
            </w:pPr>
            <w:r>
              <w:t xml:space="preserve">Net sales</w:t>
            </w:r>
          </w:p>
        </w:tc>
        <w:tc>
          <w:tcPr/>
          <w:p>
            <w:pPr>
              <w:pStyle w:val="Compact"/>
              <w:jc w:val="right"/>
            </w:pPr>
            <w:r>
              <w:rPr>
                <w:b/>
                <w:bCs/>
              </w:rPr>
              <w:t xml:space="preserve">$3.20 billion</w:t>
            </w:r>
          </w:p>
        </w:tc>
      </w:tr>
      <w:tr>
        <w:tc>
          <w:tcPr/>
          <w:p>
            <w:pPr>
              <w:pStyle w:val="Compact"/>
            </w:pPr>
            <w:r>
              <w:t xml:space="preserve">Financial volume</w:t>
            </w:r>
          </w:p>
        </w:tc>
        <w:tc>
          <w:tcPr/>
          <w:p>
            <w:pPr>
              <w:pStyle w:val="Compact"/>
              <w:jc w:val="right"/>
            </w:pPr>
            <w:r>
              <w:rPr>
                <w:b/>
                <w:bCs/>
              </w:rPr>
              <w:t xml:space="preserve">20.87 million hectoliters</w:t>
            </w:r>
          </w:p>
        </w:tc>
      </w:tr>
      <w:tr>
        <w:tc>
          <w:tcPr/>
          <w:p>
            <w:pPr>
              <w:pStyle w:val="Compact"/>
            </w:pPr>
            <w:r>
              <w:t xml:space="preserve">Worldwide brand volume</w:t>
            </w:r>
          </w:p>
        </w:tc>
        <w:tc>
          <w:tcPr/>
          <w:p>
            <w:pPr>
              <w:pStyle w:val="Compact"/>
              <w:jc w:val="right"/>
            </w:pPr>
            <w:r>
              <w:rPr>
                <w:b/>
                <w:bCs/>
              </w:rPr>
              <w:t xml:space="preserve">20.61 million hectoliters</w:t>
            </w:r>
          </w:p>
        </w:tc>
      </w:tr>
      <w:tr>
        <w:tc>
          <w:tcPr/>
          <w:p>
            <w:pPr>
              <w:pStyle w:val="Compact"/>
            </w:pPr>
            <w:r>
              <w:t xml:space="preserve">Underlying pretax income</w:t>
            </w:r>
          </w:p>
        </w:tc>
        <w:tc>
          <w:tcPr/>
          <w:p>
            <w:pPr>
              <w:pStyle w:val="Compact"/>
              <w:jc w:val="right"/>
            </w:pPr>
            <w:r>
              <w:rPr>
                <w:b/>
                <w:bCs/>
              </w:rPr>
              <w:t xml:space="preserve">$531.5 million</w:t>
            </w:r>
          </w:p>
        </w:tc>
      </w:tr>
      <w:tr>
        <w:tc>
          <w:tcPr/>
          <w:p>
            <w:pPr>
              <w:pStyle w:val="Compact"/>
            </w:pPr>
            <w:r>
              <w:t xml:space="preserve">Underlying EPS</w:t>
            </w:r>
          </w:p>
        </w:tc>
        <w:tc>
          <w:tcPr/>
          <w:p>
            <w:pPr>
              <w:pStyle w:val="Compact"/>
              <w:jc w:val="right"/>
            </w:pPr>
            <w:r>
              <w:rPr>
                <w:b/>
                <w:bCs/>
              </w:rPr>
              <w:t xml:space="preserve">$2.05</w:t>
            </w:r>
          </w:p>
        </w:tc>
      </w:tr>
    </w:tbl>
    <w:p>
      <w:pPr>
        <w:pStyle w:val="BodyText"/>
      </w:pPr>
      <w:r>
        <w:t xml:space="preserve">Last year’s quarter benefited from shipment timing and lower incentive compensation. That creates a difficult earnings comparison even before this year’s commodity inflation and elevated marketing investment.</w:t>
      </w:r>
    </w:p>
    <w:p>
      <w:r>
        <w:pict>
          <v:rect style="width:0;height:1.5pt" o:hralign="center" o:hrstd="t" o:hr="t"/>
        </w:pict>
      </w:r>
    </w:p>
    <w:bookmarkEnd w:id="11"/>
    <w:bookmarkEnd w:id="12"/>
    <w:bookmarkStart w:id="13" w:name="full-year-guidance-is-the-central-issue"/>
    <w:p>
      <w:pPr>
        <w:pStyle w:val="Heading2"/>
      </w:pPr>
      <w:r>
        <w:t xml:space="preserve">Full-year guidance is the central issue</w:t>
      </w:r>
    </w:p>
    <w:p>
      <w:pPr>
        <w:pStyle w:val="FirstParagraph"/>
      </w:pPr>
      <w:r>
        <w:t xml:space="preserve">Molson Coors reaffirmed the following outlook in April: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metric</w:t>
            </w:r>
          </w:p>
        </w:tc>
        <w:tc>
          <w:tcPr/>
          <w:p>
            <w:pPr>
              <w:pStyle w:val="Compact"/>
              <w:jc w:val="right"/>
            </w:pPr>
            <w:r>
              <w:t xml:space="preserve">Company guidance</w:t>
            </w:r>
          </w:p>
        </w:tc>
      </w:tr>
      <w:tr>
        <w:tc>
          <w:tcPr/>
          <w:p>
            <w:pPr>
              <w:pStyle w:val="Compact"/>
            </w:pPr>
            <w:r>
              <w:t xml:space="preserve">Constant-currency net sales</w:t>
            </w:r>
          </w:p>
        </w:tc>
        <w:tc>
          <w:tcPr/>
          <w:p>
            <w:pPr>
              <w:pStyle w:val="Compact"/>
              <w:jc w:val="right"/>
            </w:pPr>
            <w:r>
              <w:rPr>
                <w:b/>
                <w:bCs/>
              </w:rPr>
              <w:t xml:space="preserve">Flat, ±1%</w:t>
            </w:r>
          </w:p>
        </w:tc>
      </w:tr>
      <w:tr>
        <w:tc>
          <w:tcPr/>
          <w:p>
            <w:pPr>
              <w:pStyle w:val="Compact"/>
            </w:pPr>
            <w:r>
              <w:t xml:space="preserve">Underlying pretax income</w:t>
            </w:r>
          </w:p>
        </w:tc>
        <w:tc>
          <w:tcPr/>
          <w:p>
            <w:pPr>
              <w:pStyle w:val="Compact"/>
              <w:jc w:val="right"/>
            </w:pPr>
            <w:r>
              <w:rPr>
                <w:b/>
                <w:bCs/>
              </w:rPr>
              <w:t xml:space="preserve">Down 15%–18%</w:t>
            </w:r>
          </w:p>
        </w:tc>
      </w:tr>
      <w:tr>
        <w:tc>
          <w:tcPr/>
          <w:p>
            <w:pPr>
              <w:pStyle w:val="Compact"/>
            </w:pPr>
            <w:r>
              <w:t xml:space="preserve">Underlying EPS</w:t>
            </w:r>
          </w:p>
        </w:tc>
        <w:tc>
          <w:tcPr/>
          <w:p>
            <w:pPr>
              <w:pStyle w:val="Compact"/>
              <w:jc w:val="right"/>
            </w:pPr>
            <w:r>
              <w:rPr>
                <w:b/>
                <w:bCs/>
              </w:rPr>
              <w:t xml:space="preserve">Down 11%–15%</w:t>
            </w:r>
          </w:p>
        </w:tc>
      </w:tr>
      <w:tr>
        <w:tc>
          <w:tcPr/>
          <w:p>
            <w:pPr>
              <w:pStyle w:val="Compact"/>
            </w:pPr>
            <w:r>
              <w:t xml:space="preserve">Underlying free cash flow</w:t>
            </w:r>
          </w:p>
        </w:tc>
        <w:tc>
          <w:tcPr/>
          <w:p>
            <w:pPr>
              <w:pStyle w:val="Compact"/>
              <w:jc w:val="right"/>
            </w:pPr>
            <w:r>
              <w:rPr>
                <w:b/>
                <w:bCs/>
              </w:rPr>
              <w:t xml:space="preserve">$1.1 billion, ±10%</w:t>
            </w:r>
          </w:p>
        </w:tc>
      </w:tr>
      <w:tr>
        <w:tc>
          <w:tcPr/>
          <w:p>
            <w:pPr>
              <w:pStyle w:val="Compact"/>
            </w:pPr>
            <w:r>
              <w:t xml:space="preserve">Capital expenditures</w:t>
            </w:r>
          </w:p>
        </w:tc>
        <w:tc>
          <w:tcPr/>
          <w:p>
            <w:pPr>
              <w:pStyle w:val="Compact"/>
              <w:jc w:val="right"/>
            </w:pPr>
            <w:r>
              <w:rPr>
                <w:b/>
                <w:bCs/>
              </w:rPr>
              <w:t xml:space="preserve">$650 million, ±5%</w:t>
            </w:r>
          </w:p>
        </w:tc>
      </w:tr>
      <w:tr>
        <w:tc>
          <w:tcPr/>
          <w:p>
            <w:pPr>
              <w:pStyle w:val="Compact"/>
            </w:pPr>
            <w:r>
              <w:t xml:space="preserve">Net interest expense</w:t>
            </w:r>
          </w:p>
        </w:tc>
        <w:tc>
          <w:tcPr/>
          <w:p>
            <w:pPr>
              <w:pStyle w:val="Compact"/>
              <w:jc w:val="right"/>
            </w:pPr>
            <w:r>
              <w:rPr>
                <w:b/>
                <w:bCs/>
              </w:rPr>
              <w:t xml:space="preserve">$260 million, ±5%</w:t>
            </w:r>
          </w:p>
        </w:tc>
      </w:tr>
      <w:tr>
        <w:tc>
          <w:tcPr/>
          <w:p>
            <w:pPr>
              <w:pStyle w:val="Compact"/>
            </w:pPr>
            <w:r>
              <w:t xml:space="preserve">Year-end leverage</w:t>
            </w:r>
          </w:p>
        </w:tc>
        <w:tc>
          <w:tcPr/>
          <w:p>
            <w:pPr>
              <w:pStyle w:val="Compact"/>
              <w:jc w:val="right"/>
            </w:pPr>
            <w:r>
              <w:rPr>
                <w:b/>
                <w:bCs/>
              </w:rPr>
              <w:t xml:space="preserve">Below 2.5x</w:t>
            </w:r>
          </w:p>
        </w:tc>
      </w:tr>
    </w:tbl>
    <w:p>
      <w:pPr>
        <w:pStyle w:val="BodyText"/>
      </w:pPr>
      <w:r>
        <w:t xml:space="preserve">Based on 2025 underlying EPS of</w:t>
      </w:r>
      <w:r>
        <w:t xml:space="preserve"> </w:t>
      </w:r>
      <m:oMath>
        <m:r>
          <m:t>5.42</m:t>
        </m:r>
        <m:r>
          <m:rPr>
            <m:sty m:val="p"/>
          </m:rPr>
          <m:t>,</m:t>
        </m:r>
        <m:r>
          <m:t>t</m:t>
        </m:r>
        <m:r>
          <m:t>h</m:t>
        </m:r>
        <m:r>
          <m:t>e</m:t>
        </m:r>
        <m:r>
          <m:t>E</m:t>
        </m:r>
        <m:r>
          <m:t>P</m:t>
        </m:r>
        <m:r>
          <m:t>S</m:t>
        </m:r>
        <m:r>
          <m:t>g</m:t>
        </m:r>
        <m:r>
          <m:t>u</m:t>
        </m:r>
        <m:r>
          <m:t>i</m:t>
        </m:r>
        <m:r>
          <m:t>d</m:t>
        </m:r>
        <m:r>
          <m:t>a</m:t>
        </m:r>
        <m:r>
          <m:t>n</m:t>
        </m:r>
        <m:r>
          <m:t>c</m:t>
        </m:r>
        <m:r>
          <m:t>e</m:t>
        </m:r>
        <m:r>
          <m:t>i</m:t>
        </m:r>
        <m:r>
          <m:t>m</m:t>
        </m:r>
        <m:r>
          <m:t>p</m:t>
        </m:r>
        <m:r>
          <m:t>l</m:t>
        </m:r>
        <m:r>
          <m:t>i</m:t>
        </m:r>
        <m:r>
          <m:t>e</m:t>
        </m:r>
        <m:r>
          <m:t>s</m:t>
        </m:r>
        <m:r>
          <m:t>a</m:t>
        </m:r>
        <m:r>
          <m:t>p</m:t>
        </m:r>
        <m:r>
          <m:t>p</m:t>
        </m:r>
        <m:r>
          <m:t>r</m:t>
        </m:r>
        <m:r>
          <m:t>o</m:t>
        </m:r>
        <m:r>
          <m:t>x</m:t>
        </m:r>
        <m:r>
          <m:t>i</m:t>
        </m:r>
        <m:r>
          <m:t>m</m:t>
        </m:r>
        <m:r>
          <m:t>a</m:t>
        </m:r>
        <m:r>
          <m:t>t</m:t>
        </m:r>
        <m:r>
          <m:t>e</m:t>
        </m:r>
        <m:r>
          <m:t>l</m:t>
        </m:r>
        <m:r>
          <m:t>y</m:t>
        </m:r>
        <m:r>
          <m:rPr>
            <m:sty m:val="p"/>
          </m:rPr>
          <m:t>*</m:t>
        </m:r>
        <m:r>
          <m:rPr>
            <m:sty m:val="p"/>
          </m:rPr>
          <m:t>*</m:t>
        </m:r>
      </m:oMath>
      <w:r>
        <w:t xml:space="preserve">4.61–$4.82** for 2026.</w:t>
      </w:r>
    </w:p>
    <w:p>
      <w:pPr>
        <w:pStyle w:val="BodyText"/>
      </w:pPr>
      <w:r>
        <w:t xml:space="preserve">At TAP’s August 5 close of approximately</w:t>
      </w:r>
      <w:r>
        <w:t xml:space="preserve"> </w:t>
      </w:r>
      <w:r>
        <w:rPr>
          <w:b/>
          <w:bCs/>
        </w:rPr>
        <w:t xml:space="preserve">$41.88</w:t>
      </w:r>
      <w:r>
        <w:t xml:space="preserve">, that equates to roughly:</w:t>
      </w:r>
    </w:p>
    <w:p>
      <w:pPr>
        <w:pStyle w:val="Compact"/>
        <w:numPr>
          <w:ilvl w:val="0"/>
          <w:numId w:val="1003"/>
        </w:numPr>
      </w:pPr>
      <w:r>
        <w:rPr>
          <w:b/>
          <w:bCs/>
        </w:rPr>
        <w:t xml:space="preserve">8.7x–9.1x guided 2026 EPS</w:t>
      </w:r>
    </w:p>
    <w:p>
      <w:pPr>
        <w:pStyle w:val="Compact"/>
        <w:numPr>
          <w:ilvl w:val="0"/>
          <w:numId w:val="1003"/>
        </w:numPr>
      </w:pPr>
      <w:r>
        <w:t xml:space="preserve">A roughly</w:t>
      </w:r>
      <w:r>
        <w:t xml:space="preserve"> </w:t>
      </w:r>
      <w:r>
        <w:rPr>
          <w:b/>
          <w:bCs/>
        </w:rPr>
        <w:t xml:space="preserve">4.6% annualized dividend yield</w:t>
      </w:r>
      <w:r>
        <w:t xml:space="preserve">, assuming the current $0.48 quarterly dividend</w:t>
      </w:r>
    </w:p>
    <w:p>
      <w:pPr>
        <w:pStyle w:val="FirstParagraph"/>
      </w:pPr>
      <w:r>
        <w:t xml:space="preserve">The valuation is inexpensive, but appropriately reflects declining earnings, uncertain category demand and questions about the durability of Molson Coors’ major U.S. brands.</w:t>
      </w:r>
    </w:p>
    <w:p>
      <w:r>
        <w:pict>
          <v:rect style="width:0;height:1.5pt" o:hralign="center" o:hrstd="t" o:hr="t"/>
        </w:pict>
      </w:r>
    </w:p>
    <w:bookmarkEnd w:id="13"/>
    <w:bookmarkStart w:id="14" w:name="what-to-watch"/>
    <w:p>
      <w:pPr>
        <w:pStyle w:val="Heading2"/>
      </w:pPr>
      <w:r>
        <w:t xml:space="preserve">What to watch</w:t>
      </w:r>
    </w:p>
    <w:bookmarkEnd w:id="14"/>
    <w:bookmarkStart w:id="15" w:name="X6873c9f69a44053bb61eb468b56c96179042961"/>
    <w:p>
      <w:pPr>
        <w:pStyle w:val="Heading2"/>
      </w:pPr>
      <w:r>
        <w:t xml:space="preserve">1. Brand demand versus shipments</w:t>
      </w:r>
    </w:p>
    <w:p>
      <w:pPr>
        <w:pStyle w:val="FirstParagraph"/>
      </w:pPr>
      <w:r>
        <w:t xml:space="preserve">Management guided U.S. financial volumes down</w:t>
      </w:r>
      <w:r>
        <w:t xml:space="preserve"> </w:t>
      </w:r>
      <w:r>
        <w:rPr>
          <w:b/>
          <w:bCs/>
        </w:rPr>
        <w:t xml:space="preserve">6%–9%</w:t>
      </w:r>
      <w:r>
        <w:t xml:space="preserve"> </w:t>
      </w:r>
      <w:r>
        <w:t xml:space="preserve">in Q2, but said shipments would trail brand volumes. The gap is important.</w:t>
      </w:r>
    </w:p>
    <w:p>
      <w:pPr>
        <w:pStyle w:val="BodyText"/>
      </w:pPr>
      <w:r>
        <w:t xml:space="preserve">The shipment decline reflects several factors beyond end demand:</w:t>
      </w:r>
    </w:p>
    <w:p>
      <w:pPr>
        <w:pStyle w:val="Compact"/>
        <w:numPr>
          <w:ilvl w:val="0"/>
          <w:numId w:val="1004"/>
        </w:numPr>
      </w:pPr>
      <w:r>
        <w:t xml:space="preserve">Higher distributor inventories in the prior-year period</w:t>
      </w:r>
    </w:p>
    <w:p>
      <w:pPr>
        <w:pStyle w:val="Compact"/>
        <w:numPr>
          <w:ilvl w:val="0"/>
          <w:numId w:val="1004"/>
        </w:numPr>
      </w:pPr>
      <w:r>
        <w:t xml:space="preserve">Glass-supply constraints affecting selected packages and regions</w:t>
      </w:r>
    </w:p>
    <w:p>
      <w:pPr>
        <w:pStyle w:val="Compact"/>
        <w:numPr>
          <w:ilvl w:val="0"/>
          <w:numId w:val="1004"/>
        </w:numPr>
      </w:pPr>
      <w:r>
        <w:t xml:space="preserve">Earlier weather and energy disruptions</w:t>
      </w:r>
    </w:p>
    <w:p>
      <w:pPr>
        <w:pStyle w:val="Compact"/>
        <w:numPr>
          <w:ilvl w:val="0"/>
          <w:numId w:val="1004"/>
        </w:numPr>
      </w:pPr>
      <w:r>
        <w:t xml:space="preserve">Brewery upgrades</w:t>
      </w:r>
    </w:p>
    <w:p>
      <w:pPr>
        <w:pStyle w:val="Compact"/>
        <w:numPr>
          <w:ilvl w:val="0"/>
          <w:numId w:val="1004"/>
        </w:numPr>
      </w:pPr>
      <w:r>
        <w:t xml:space="preserve">Planned downtime at the Shenandoah facility</w:t>
      </w:r>
    </w:p>
    <w:p>
      <w:pPr>
        <w:pStyle w:val="FirstParagraph"/>
      </w:pPr>
      <w:r>
        <w:t xml:space="preserve">A result within the 6%–9% range would not necessarily be alarming if U.S. brand volumes and retail sales are materially better. Conversely, weak brand volumes combined with weak shipments would suggest that the problem is demand, not timing.</w:t>
      </w:r>
    </w:p>
    <w:p>
      <w:pPr>
        <w:pStyle w:val="BodyText"/>
      </w:pPr>
      <w:r>
        <w:rPr>
          <w:b/>
          <w:bCs/>
        </w:rPr>
        <w:t xml:space="preserve">Positive outcome:</w:t>
      </w:r>
      <w:r>
        <w:t xml:space="preserve"> </w:t>
      </w:r>
      <w:r>
        <w:t xml:space="preserve">U.S. brand volumes decline modestly, the shipment result stays within guidance, and management maintains that second-half shipments will outpace consumption.</w:t>
      </w:r>
    </w:p>
    <w:p>
      <w:pPr>
        <w:pStyle w:val="BodyText"/>
      </w:pPr>
      <w:r>
        <w:rPr>
          <w:b/>
          <w:bCs/>
        </w:rPr>
        <w:t xml:space="preserve">Negative outcome:</w:t>
      </w:r>
      <w:r>
        <w:t xml:space="preserve"> </w:t>
      </w:r>
      <w:r>
        <w:t xml:space="preserve">Shipments fall more than 9%, availability issues damage summer execution, or management removes the expected second-half shipment recovery.</w:t>
      </w:r>
    </w:p>
    <w:p>
      <w:r>
        <w:pict>
          <v:rect style="width:0;height:1.5pt" o:hralign="center" o:hrstd="t" o:hr="t"/>
        </w:pict>
      </w:r>
    </w:p>
    <w:bookmarkEnd w:id="15"/>
    <w:bookmarkStart w:id="16" w:name="X15b4e9e4e79288a8e59449b73e6edf5372233fc"/>
    <w:p>
      <w:pPr>
        <w:pStyle w:val="Heading2"/>
      </w:pPr>
      <w:r>
        <w:t xml:space="preserve">2. U.S. market share and the health of the core brands</w:t>
      </w:r>
    </w:p>
    <w:p>
      <w:pPr>
        <w:pStyle w:val="FirstParagraph"/>
      </w:pPr>
      <w:r>
        <w:t xml:space="preserve">The U.S. beer market was down approximately 1.6% in Q1, better than management initially expected, but Molson Coors lost roughly</w:t>
      </w:r>
      <w:r>
        <w:t xml:space="preserve"> </w:t>
      </w:r>
      <w:r>
        <w:rPr>
          <w:b/>
          <w:bCs/>
        </w:rPr>
        <w:t xml:space="preserve">60 basis points of volume share</w:t>
      </w:r>
      <w:r>
        <w:t xml:space="preserve">.</w:t>
      </w:r>
    </w:p>
    <w:p>
      <w:pPr>
        <w:pStyle w:val="BodyText"/>
      </w:pPr>
      <w:r>
        <w:t xml:space="preserve">The brand-level picture was mixed:</w:t>
      </w:r>
    </w:p>
    <w:p>
      <w:pPr>
        <w:pStyle w:val="Compact"/>
        <w:numPr>
          <w:ilvl w:val="0"/>
          <w:numId w:val="1005"/>
        </w:numPr>
      </w:pPr>
      <w:r>
        <w:rPr>
          <w:b/>
          <w:bCs/>
        </w:rPr>
        <w:t xml:space="preserve">Coors Banquet:</w:t>
      </w:r>
      <w:r>
        <w:t xml:space="preserve"> </w:t>
      </w:r>
      <w:r>
        <w:t xml:space="preserve">continued momentum and share gains</w:t>
      </w:r>
    </w:p>
    <w:p>
      <w:pPr>
        <w:pStyle w:val="Compact"/>
        <w:numPr>
          <w:ilvl w:val="0"/>
          <w:numId w:val="1005"/>
        </w:numPr>
      </w:pPr>
      <w:r>
        <w:rPr>
          <w:b/>
          <w:bCs/>
        </w:rPr>
        <w:t xml:space="preserve">Coors Light:</w:t>
      </w:r>
      <w:r>
        <w:t xml:space="preserve"> </w:t>
      </w:r>
      <w:r>
        <w:t xml:space="preserve">described as broadly holding its position</w:t>
      </w:r>
    </w:p>
    <w:p>
      <w:pPr>
        <w:pStyle w:val="Compact"/>
        <w:numPr>
          <w:ilvl w:val="0"/>
          <w:numId w:val="1005"/>
        </w:numPr>
      </w:pPr>
      <w:r>
        <w:rPr>
          <w:b/>
          <w:bCs/>
        </w:rPr>
        <w:t xml:space="preserve">Miller Lite:</w:t>
      </w:r>
      <w:r>
        <w:t xml:space="preserve"> </w:t>
      </w:r>
      <w:r>
        <w:t xml:space="preserve">under pressure, particularly in the Great Lakes region</w:t>
      </w:r>
    </w:p>
    <w:p>
      <w:pPr>
        <w:pStyle w:val="Compact"/>
        <w:numPr>
          <w:ilvl w:val="0"/>
          <w:numId w:val="1005"/>
        </w:numPr>
      </w:pPr>
      <w:r>
        <w:rPr>
          <w:b/>
          <w:bCs/>
        </w:rPr>
        <w:t xml:space="preserve">Miller High Life:</w:t>
      </w:r>
      <w:r>
        <w:t xml:space="preserve"> </w:t>
      </w:r>
      <w:r>
        <w:t xml:space="preserve">relatively stable, with good on-premise performance</w:t>
      </w:r>
    </w:p>
    <w:p>
      <w:pPr>
        <w:pStyle w:val="Compact"/>
        <w:numPr>
          <w:ilvl w:val="0"/>
          <w:numId w:val="1005"/>
        </w:numPr>
      </w:pPr>
      <w:r>
        <w:rPr>
          <w:b/>
          <w:bCs/>
        </w:rPr>
        <w:t xml:space="preserve">Keystone:</w:t>
      </w:r>
      <w:r>
        <w:t xml:space="preserve"> </w:t>
      </w:r>
      <w:r>
        <w:t xml:space="preserve">still a material weakness in the value portfolio</w:t>
      </w:r>
    </w:p>
    <w:p>
      <w:pPr>
        <w:pStyle w:val="Compact"/>
        <w:numPr>
          <w:ilvl w:val="0"/>
          <w:numId w:val="1005"/>
        </w:numPr>
      </w:pPr>
      <w:r>
        <w:rPr>
          <w:b/>
          <w:bCs/>
        </w:rPr>
        <w:t xml:space="preserve">Peroni and above-premium:</w:t>
      </w:r>
      <w:r>
        <w:t xml:space="preserve"> </w:t>
      </w:r>
      <w:r>
        <w:t xml:space="preserve">generally positive</w:t>
      </w:r>
    </w:p>
    <w:p>
      <w:pPr>
        <w:pStyle w:val="Compact"/>
        <w:numPr>
          <w:ilvl w:val="0"/>
          <w:numId w:val="1005"/>
        </w:numPr>
      </w:pPr>
      <w:r>
        <w:rPr>
          <w:b/>
          <w:bCs/>
        </w:rPr>
        <w:t xml:space="preserve">Topo Chico Hard:</w:t>
      </w:r>
      <w:r>
        <w:t xml:space="preserve"> </w:t>
      </w:r>
      <w:r>
        <w:t xml:space="preserve">returned to growth</w:t>
      </w:r>
    </w:p>
    <w:p>
      <w:pPr>
        <w:pStyle w:val="Compact"/>
        <w:numPr>
          <w:ilvl w:val="0"/>
          <w:numId w:val="1005"/>
        </w:numPr>
      </w:pPr>
      <w:r>
        <w:rPr>
          <w:b/>
          <w:bCs/>
        </w:rPr>
        <w:t xml:space="preserve">Blue Moon:</w:t>
      </w:r>
      <w:r>
        <w:t xml:space="preserve"> </w:t>
      </w:r>
      <w:r>
        <w:t xml:space="preserve">on-premise trends improved, but the broader turnaround remains incomplete</w:t>
      </w:r>
    </w:p>
    <w:p>
      <w:pPr>
        <w:pStyle w:val="FirstParagraph"/>
      </w:pPr>
      <w:r>
        <w:t xml:space="preserve">Q2 included major beer-drinking occasions, including the World Cup and America’s 250th anniversary campaign. Molson Coors described its World Cup program as its largest media investment in years.</w:t>
      </w:r>
    </w:p>
    <w:p>
      <w:pPr>
        <w:pStyle w:val="BodyText"/>
      </w:pPr>
      <w:r>
        <w:t xml:space="preserve">Investors should look for evidence that this spending produced:</w:t>
      </w:r>
    </w:p>
    <w:p>
      <w:pPr>
        <w:pStyle w:val="Compact"/>
        <w:numPr>
          <w:ilvl w:val="0"/>
          <w:numId w:val="1006"/>
        </w:numPr>
      </w:pPr>
      <w:r>
        <w:t xml:space="preserve">Better core-brand share</w:t>
      </w:r>
    </w:p>
    <w:p>
      <w:pPr>
        <w:pStyle w:val="Compact"/>
        <w:numPr>
          <w:ilvl w:val="0"/>
          <w:numId w:val="1006"/>
        </w:numPr>
      </w:pPr>
      <w:r>
        <w:t xml:space="preserve">Continued on-premise strength</w:t>
      </w:r>
    </w:p>
    <w:p>
      <w:pPr>
        <w:pStyle w:val="Compact"/>
        <w:numPr>
          <w:ilvl w:val="0"/>
          <w:numId w:val="1006"/>
        </w:numPr>
      </w:pPr>
      <w:r>
        <w:t xml:space="preserve">Stabilization in Miller Lite</w:t>
      </w:r>
    </w:p>
    <w:p>
      <w:pPr>
        <w:pStyle w:val="Compact"/>
        <w:numPr>
          <w:ilvl w:val="0"/>
          <w:numId w:val="1006"/>
        </w:numPr>
      </w:pPr>
      <w:r>
        <w:t xml:space="preserve">Less leakage from the value portfolio</w:t>
      </w:r>
    </w:p>
    <w:p>
      <w:pPr>
        <w:pStyle w:val="Compact"/>
        <w:numPr>
          <w:ilvl w:val="0"/>
          <w:numId w:val="1006"/>
        </w:numPr>
      </w:pPr>
      <w:r>
        <w:t xml:space="preserve">Strong enough retail execution to justify the additional marketing expense</w:t>
      </w:r>
    </w:p>
    <w:p>
      <w:pPr>
        <w:pStyle w:val="FirstParagraph"/>
      </w:pPr>
      <w:r>
        <w:t xml:space="preserve">Management previously said share should improve over the balance of the year relative to Q1. That claim will be difficult to maintain if the Q2 exit rate did not improve.</w:t>
      </w:r>
    </w:p>
    <w:p>
      <w:r>
        <w:pict>
          <v:rect style="width:0;height:1.5pt" o:hralign="center" o:hrstd="t" o:hr="t"/>
        </w:pict>
      </w:r>
    </w:p>
    <w:bookmarkEnd w:id="16"/>
    <w:bookmarkStart w:id="19" w:name="X32e454450b7341df4ec1d614aaa6b8cd7068bb1"/>
    <w:p>
      <w:pPr>
        <w:pStyle w:val="Heading2"/>
      </w:pPr>
      <w:r>
        <w:t xml:space="preserve">3. A likely low point for margins</w:t>
      </w:r>
    </w:p>
    <w:p>
      <w:pPr>
        <w:pStyle w:val="FirstParagraph"/>
      </w:pPr>
      <w:r>
        <w:t xml:space="preserve">The margin comparison may be the quarter’s biggest source of headline weakness.</w:t>
      </w:r>
    </w:p>
    <w:bookmarkStart w:id="17" w:name="commodity-inflation"/>
    <w:p>
      <w:pPr>
        <w:pStyle w:val="Heading3"/>
      </w:pPr>
      <w:r>
        <w:t xml:space="preserve">Commodity inflation</w:t>
      </w:r>
    </w:p>
    <w:p>
      <w:pPr>
        <w:pStyle w:val="FirstParagraph"/>
      </w:pPr>
      <w:r>
        <w:t xml:space="preserve">Molson Coors incurred approximately</w:t>
      </w:r>
      <w:r>
        <w:t xml:space="preserve"> </w:t>
      </w:r>
      <w:r>
        <w:rPr>
          <w:b/>
          <w:bCs/>
        </w:rPr>
        <w:t xml:space="preserve">$30 million</w:t>
      </w:r>
      <w:r>
        <w:t xml:space="preserve"> </w:t>
      </w:r>
      <w:r>
        <w:t xml:space="preserve">of incremental Midwest Premium cost in Q1. Management said:</w:t>
      </w:r>
    </w:p>
    <w:p>
      <w:pPr>
        <w:pStyle w:val="Compact"/>
        <w:numPr>
          <w:ilvl w:val="0"/>
          <w:numId w:val="1007"/>
        </w:numPr>
      </w:pPr>
      <w:r>
        <w:t xml:space="preserve">Midwest Premium would remain inflationary throughout 2026</w:t>
      </w:r>
    </w:p>
    <w:p>
      <w:pPr>
        <w:pStyle w:val="Compact"/>
        <w:numPr>
          <w:ilvl w:val="0"/>
          <w:numId w:val="1007"/>
        </w:numPr>
      </w:pPr>
      <w:r>
        <w:t xml:space="preserve">The</w:t>
      </w:r>
      <w:r>
        <w:t xml:space="preserve"> </w:t>
      </w:r>
      <w:r>
        <w:rPr>
          <w:b/>
          <w:bCs/>
        </w:rPr>
        <w:t xml:space="preserve">largest year-over-year increase would occur in Q2</w:t>
      </w:r>
    </w:p>
    <w:p>
      <w:pPr>
        <w:pStyle w:val="Compact"/>
        <w:numPr>
          <w:ilvl w:val="0"/>
          <w:numId w:val="1007"/>
        </w:numPr>
      </w:pPr>
      <w:r>
        <w:t xml:space="preserve">The full-year impact could reduce pretax-income growth by roughly</w:t>
      </w:r>
      <w:r>
        <w:t xml:space="preserve"> </w:t>
      </w:r>
      <w:r>
        <w:rPr>
          <w:b/>
          <w:bCs/>
        </w:rPr>
        <w:t xml:space="preserve">9–10 percentage points</w:t>
      </w:r>
    </w:p>
    <w:p>
      <w:pPr>
        <w:pStyle w:val="Compact"/>
        <w:numPr>
          <w:ilvl w:val="0"/>
          <w:numId w:val="1007"/>
        </w:numPr>
      </w:pPr>
      <w:r>
        <w:t xml:space="preserve">The corresponding annual headwind was at least approximately</w:t>
      </w:r>
      <w:r>
        <w:t xml:space="preserve"> </w:t>
      </w:r>
      <w:r>
        <w:rPr>
          <w:b/>
          <w:bCs/>
        </w:rPr>
        <w:t xml:space="preserve">$125 million</w:t>
      </w:r>
      <w:r>
        <w:t xml:space="preserve"> </w:t>
      </w:r>
      <w:r>
        <w:t xml:space="preserve">at the low end of management’s prior assumptions</w:t>
      </w:r>
    </w:p>
    <w:p>
      <w:pPr>
        <w:pStyle w:val="FirstParagraph"/>
      </w:pPr>
      <w:r>
        <w:t xml:space="preserve">Hedges should limit the effect of more recent commodity-price moves, but they do not eliminate the significant year-over-year pressure already embedded in the outlook.</w:t>
      </w:r>
    </w:p>
    <w:bookmarkEnd w:id="17"/>
    <w:bookmarkStart w:id="18" w:name="mga-reversal"/>
    <w:p>
      <w:pPr>
        <w:pStyle w:val="Heading3"/>
      </w:pPr>
      <w:r>
        <w:t xml:space="preserve">MG&amp;A reversal</w:t>
      </w:r>
    </w:p>
    <w:p>
      <w:pPr>
        <w:pStyle w:val="FirstParagraph"/>
      </w:pPr>
      <w:r>
        <w:t xml:space="preserve">Q1 MG&amp;A fell 9.1% in constant currency. Q2 should move sharply in the opposite direction because of:</w:t>
      </w:r>
    </w:p>
    <w:p>
      <w:pPr>
        <w:pStyle w:val="Compact"/>
        <w:numPr>
          <w:ilvl w:val="0"/>
          <w:numId w:val="1008"/>
        </w:numPr>
      </w:pPr>
      <w:r>
        <w:t xml:space="preserve">Higher incentive compensation</w:t>
      </w:r>
    </w:p>
    <w:p>
      <w:pPr>
        <w:pStyle w:val="Compact"/>
        <w:numPr>
          <w:ilvl w:val="0"/>
          <w:numId w:val="1008"/>
        </w:numPr>
      </w:pPr>
      <w:r>
        <w:t xml:space="preserve">World Cup and other summer marketing</w:t>
      </w:r>
    </w:p>
    <w:p>
      <w:pPr>
        <w:pStyle w:val="Compact"/>
        <w:numPr>
          <w:ilvl w:val="0"/>
          <w:numId w:val="1008"/>
        </w:numPr>
      </w:pPr>
      <w:r>
        <w:t xml:space="preserve">ERP modernization expenses</w:t>
      </w:r>
    </w:p>
    <w:p>
      <w:pPr>
        <w:pStyle w:val="Compact"/>
        <w:numPr>
          <w:ilvl w:val="0"/>
          <w:numId w:val="1008"/>
        </w:numPr>
      </w:pPr>
      <w:r>
        <w:t xml:space="preserve">Monaco integration and marketing costs</w:t>
      </w:r>
    </w:p>
    <w:p>
      <w:pPr>
        <w:pStyle w:val="Compact"/>
        <w:numPr>
          <w:ilvl w:val="0"/>
          <w:numId w:val="1008"/>
        </w:numPr>
      </w:pPr>
      <w:r>
        <w:t xml:space="preserve">More than 80 Monaco sales employees joining Molson Coors</w:t>
      </w:r>
    </w:p>
    <w:p>
      <w:pPr>
        <w:pStyle w:val="FirstParagraph"/>
      </w:pPr>
      <w:r>
        <w:t xml:space="preserve">Investors should therefore avoid extrapolating Q1’s 16% underlying pretax-income growth.</w:t>
      </w:r>
    </w:p>
    <w:p>
      <w:pPr>
        <w:pStyle w:val="BodyText"/>
      </w:pPr>
      <w:r>
        <w:t xml:space="preserve">The key issue is whether the cost spike remains consistent with the full-year guide. If management says commodity inflation or commercial spending has moved materially above plan, the current pretax-income range may become difficult to defend.</w:t>
      </w:r>
    </w:p>
    <w:p>
      <w:r>
        <w:pict>
          <v:rect style="width:0;height:1.5pt" o:hralign="center" o:hrstd="t" o:hr="t"/>
        </w:pict>
      </w:r>
    </w:p>
    <w:bookmarkEnd w:id="18"/>
    <w:bookmarkEnd w:id="19"/>
    <w:bookmarkStart w:id="20" w:name="Xaefcd8f5f736707c17d05c05350d5d316595309"/>
    <w:p>
      <w:pPr>
        <w:pStyle w:val="Heading2"/>
      </w:pPr>
      <w:r>
        <w:t xml:space="preserve">4. Is the second-half recovery credible?</w:t>
      </w:r>
    </w:p>
    <w:p>
      <w:pPr>
        <w:pStyle w:val="FirstParagraph"/>
      </w:pPr>
      <w:r>
        <w:t xml:space="preserve">Current guidance requires a meaningful improvement after Q2.</w:t>
      </w:r>
    </w:p>
    <w:p>
      <w:pPr>
        <w:pStyle w:val="BodyText"/>
      </w:pPr>
      <w:r>
        <w:t xml:space="preserve">The expected bridge includes:</w:t>
      </w:r>
    </w:p>
    <w:p>
      <w:pPr>
        <w:pStyle w:val="Compact"/>
        <w:numPr>
          <w:ilvl w:val="0"/>
          <w:numId w:val="1009"/>
        </w:numPr>
      </w:pPr>
      <w:r>
        <w:t xml:space="preserve">U.S. shipments outpacing consumption in the second half</w:t>
      </w:r>
    </w:p>
    <w:p>
      <w:pPr>
        <w:pStyle w:val="Compact"/>
        <w:numPr>
          <w:ilvl w:val="0"/>
          <w:numId w:val="1009"/>
        </w:numPr>
      </w:pPr>
      <w:r>
        <w:t xml:space="preserve">Better market-share performance</w:t>
      </w:r>
    </w:p>
    <w:p>
      <w:pPr>
        <w:pStyle w:val="Compact"/>
        <w:numPr>
          <w:ilvl w:val="0"/>
          <w:numId w:val="1009"/>
        </w:numPr>
      </w:pPr>
      <w:r>
        <w:t xml:space="preserve">Cost savings ramping under the three-year program</w:t>
      </w:r>
    </w:p>
    <w:p>
      <w:pPr>
        <w:pStyle w:val="Compact"/>
        <w:numPr>
          <w:ilvl w:val="0"/>
          <w:numId w:val="1009"/>
        </w:numPr>
      </w:pPr>
      <w:r>
        <w:t xml:space="preserve">Easier commodity comparisons later in the year</w:t>
      </w:r>
    </w:p>
    <w:p>
      <w:pPr>
        <w:pStyle w:val="Compact"/>
        <w:numPr>
          <w:ilvl w:val="0"/>
          <w:numId w:val="1009"/>
        </w:numPr>
      </w:pPr>
      <w:r>
        <w:t xml:space="preserve">Nine months of Monaco revenue and profit</w:t>
      </w:r>
    </w:p>
    <w:p>
      <w:pPr>
        <w:pStyle w:val="Compact"/>
        <w:numPr>
          <w:ilvl w:val="0"/>
          <w:numId w:val="1009"/>
        </w:numPr>
      </w:pPr>
      <w:r>
        <w:t xml:space="preserve">Continued pricing and favorable portfolio mix</w:t>
      </w:r>
    </w:p>
    <w:p>
      <w:pPr>
        <w:pStyle w:val="Compact"/>
        <w:numPr>
          <w:ilvl w:val="0"/>
          <w:numId w:val="1009"/>
        </w:numPr>
      </w:pPr>
      <w:r>
        <w:t xml:space="preserve">Share repurchases supporting EPS</w:t>
      </w:r>
    </w:p>
    <w:p>
      <w:pPr>
        <w:pStyle w:val="FirstParagraph"/>
      </w:pPr>
      <w:r>
        <w:t xml:space="preserve">The bar is not necessarily high for absolute growth—the company still guides to a substantial annual earnings decline—but the required sequential improvement matters.</w:t>
      </w:r>
    </w:p>
    <w:p>
      <w:pPr>
        <w:pStyle w:val="BodyText"/>
      </w:pPr>
      <w:r>
        <w:t xml:space="preserve">Investors should listen for quantification of:</w:t>
      </w:r>
    </w:p>
    <w:p>
      <w:pPr>
        <w:pStyle w:val="Compact"/>
        <w:numPr>
          <w:ilvl w:val="0"/>
          <w:numId w:val="1010"/>
        </w:numPr>
      </w:pPr>
      <w:r>
        <w:t xml:space="preserve">Q2 shipment-versus-consumption timing</w:t>
      </w:r>
    </w:p>
    <w:p>
      <w:pPr>
        <w:pStyle w:val="Compact"/>
        <w:numPr>
          <w:ilvl w:val="0"/>
          <w:numId w:val="1010"/>
        </w:numPr>
      </w:pPr>
      <w:r>
        <w:t xml:space="preserve">Distributor inventory levels entering Q3</w:t>
      </w:r>
    </w:p>
    <w:p>
      <w:pPr>
        <w:pStyle w:val="Compact"/>
        <w:numPr>
          <w:ilvl w:val="0"/>
          <w:numId w:val="1010"/>
        </w:numPr>
      </w:pPr>
      <w:r>
        <w:t xml:space="preserve">Remaining supply constraints</w:t>
      </w:r>
    </w:p>
    <w:p>
      <w:pPr>
        <w:pStyle w:val="Compact"/>
        <w:numPr>
          <w:ilvl w:val="0"/>
          <w:numId w:val="1010"/>
        </w:numPr>
      </w:pPr>
      <w:r>
        <w:t xml:space="preserve">Cost savings realized to date</w:t>
      </w:r>
    </w:p>
    <w:p>
      <w:pPr>
        <w:pStyle w:val="Compact"/>
        <w:numPr>
          <w:ilvl w:val="0"/>
          <w:numId w:val="1010"/>
        </w:numPr>
      </w:pPr>
      <w:r>
        <w:t xml:space="preserve">Second-half commodity pressure</w:t>
      </w:r>
    </w:p>
    <w:p>
      <w:pPr>
        <w:pStyle w:val="Compact"/>
        <w:numPr>
          <w:ilvl w:val="0"/>
          <w:numId w:val="1010"/>
        </w:numPr>
      </w:pPr>
      <w:r>
        <w:t xml:space="preserve">Marketing and incentive-compensation phasing</w:t>
      </w:r>
    </w:p>
    <w:p>
      <w:pPr>
        <w:pStyle w:val="FirstParagraph"/>
      </w:pPr>
      <w:r>
        <w:t xml:space="preserve">A reaffirmation without a credible second-half bridge would be less reassuring than the headline suggests.</w:t>
      </w:r>
    </w:p>
    <w:p>
      <w:r>
        <w:pict>
          <v:rect style="width:0;height:1.5pt" o:hralign="center" o:hrstd="t" o:hr="t"/>
        </w:pict>
      </w:r>
    </w:p>
    <w:bookmarkEnd w:id="20"/>
    <w:bookmarkStart w:id="21" w:name="X0b982994894eb232b156dbe3618113dab895c4d"/>
    <w:p>
      <w:pPr>
        <w:pStyle w:val="Heading2"/>
      </w:pPr>
      <w:r>
        <w:t xml:space="preserve">5. Monaco and the beyond-beer strategy</w:t>
      </w:r>
    </w:p>
    <w:p>
      <w:pPr>
        <w:pStyle w:val="FirstParagraph"/>
      </w:pPr>
      <w:r>
        <w:t xml:space="preserve">Molson Coors acquired Atomic Brands, the owner of Monaco Cocktails, for</w:t>
      </w:r>
      <w:r>
        <w:t xml:space="preserve"> </w:t>
      </w:r>
      <w:r>
        <w:rPr>
          <w:b/>
          <w:bCs/>
        </w:rPr>
        <w:t xml:space="preserve">$275 million</w:t>
      </w:r>
      <w:r>
        <w:t xml:space="preserve"> </w:t>
      </w:r>
      <w:r>
        <w:t xml:space="preserve">on April 1.</w:t>
      </w:r>
    </w:p>
    <w:p>
      <w:pPr>
        <w:pStyle w:val="BodyText"/>
      </w:pPr>
      <w:r>
        <w:t xml:space="preserve">Management expects Monaco to:</w:t>
      </w:r>
    </w:p>
    <w:p>
      <w:pPr>
        <w:pStyle w:val="Compact"/>
        <w:numPr>
          <w:ilvl w:val="0"/>
          <w:numId w:val="1011"/>
        </w:numPr>
      </w:pPr>
      <w:r>
        <w:t xml:space="preserve">Contribute approximately</w:t>
      </w:r>
      <w:r>
        <w:t xml:space="preserve"> </w:t>
      </w:r>
      <w:r>
        <w:rPr>
          <w:b/>
          <w:bCs/>
        </w:rPr>
        <w:t xml:space="preserve">1% of global net sales</w:t>
      </w:r>
      <w:r>
        <w:t xml:space="preserve"> </w:t>
      </w:r>
      <w:r>
        <w:t xml:space="preserve">on a trailing-12-month basis</w:t>
      </w:r>
    </w:p>
    <w:p>
      <w:pPr>
        <w:pStyle w:val="Compact"/>
        <w:numPr>
          <w:ilvl w:val="0"/>
          <w:numId w:val="1011"/>
        </w:numPr>
      </w:pPr>
      <w:r>
        <w:t xml:space="preserve">Be incrementally profitable in its first year under Molson Coors</w:t>
      </w:r>
    </w:p>
    <w:p>
      <w:pPr>
        <w:pStyle w:val="Compact"/>
        <w:numPr>
          <w:ilvl w:val="0"/>
          <w:numId w:val="1011"/>
        </w:numPr>
      </w:pPr>
      <w:r>
        <w:t xml:space="preserve">Expand the company’s position in ready-to-drink cocktails</w:t>
      </w:r>
    </w:p>
    <w:p>
      <w:pPr>
        <w:pStyle w:val="Compact"/>
        <w:numPr>
          <w:ilvl w:val="0"/>
          <w:numId w:val="1011"/>
        </w:numPr>
      </w:pPr>
      <w:r>
        <w:t xml:space="preserve">Improve convenience-store exposure</w:t>
      </w:r>
    </w:p>
    <w:p>
      <w:pPr>
        <w:pStyle w:val="Compact"/>
        <w:numPr>
          <w:ilvl w:val="0"/>
          <w:numId w:val="1011"/>
        </w:numPr>
      </w:pPr>
      <w:r>
        <w:t xml:space="preserve">Provide a broader sales platform for the rest of the beyond-beer portfolio</w:t>
      </w:r>
    </w:p>
    <w:p>
      <w:pPr>
        <w:pStyle w:val="FirstParagraph"/>
      </w:pPr>
      <w:r>
        <w:t xml:space="preserve">Q2 will be the first full quarter to include Monaco. Investors should focus on organic shipment momentum and distribution gains rather than simply the reported acquisition contribution.</w:t>
      </w:r>
    </w:p>
    <w:p>
      <w:pPr>
        <w:pStyle w:val="BodyText"/>
      </w:pPr>
      <w:r>
        <w:t xml:space="preserve">The broader portfolio indicators also matter:</w:t>
      </w:r>
    </w:p>
    <w:p>
      <w:pPr>
        <w:pStyle w:val="Compact"/>
        <w:numPr>
          <w:ilvl w:val="0"/>
          <w:numId w:val="1012"/>
        </w:numPr>
      </w:pPr>
      <w:r>
        <w:t xml:space="preserve">Fever-Tree’s U.S. growth and integration</w:t>
      </w:r>
    </w:p>
    <w:p>
      <w:pPr>
        <w:pStyle w:val="Compact"/>
        <w:numPr>
          <w:ilvl w:val="0"/>
          <w:numId w:val="1012"/>
        </w:numPr>
      </w:pPr>
      <w:r>
        <w:t xml:space="preserve">Topo Chico Hard’s return to growth</w:t>
      </w:r>
    </w:p>
    <w:p>
      <w:pPr>
        <w:pStyle w:val="Compact"/>
        <w:numPr>
          <w:ilvl w:val="0"/>
          <w:numId w:val="1012"/>
        </w:numPr>
      </w:pPr>
      <w:r>
        <w:t xml:space="preserve">Blue Moon non-alcoholic distribution</w:t>
      </w:r>
    </w:p>
    <w:p>
      <w:pPr>
        <w:pStyle w:val="Compact"/>
        <w:numPr>
          <w:ilvl w:val="0"/>
          <w:numId w:val="1012"/>
        </w:numPr>
      </w:pPr>
      <w:r>
        <w:t xml:space="preserve">Whether beyond-beer is becoming large enough to offset declines in traditional beer</w:t>
      </w:r>
    </w:p>
    <w:p>
      <w:pPr>
        <w:pStyle w:val="FirstParagraph"/>
      </w:pPr>
      <w:r>
        <w:t xml:space="preserve">The acquisition helps the growth narrative, but at roughly 1% of sales it cannot compensate for sustained weakness in Coors Light, Miller Lite and the value portfolio.</w:t>
      </w:r>
    </w:p>
    <w:p>
      <w:r>
        <w:pict>
          <v:rect style="width:0;height:1.5pt" o:hralign="center" o:hrstd="t" o:hr="t"/>
        </w:pict>
      </w:r>
    </w:p>
    <w:bookmarkEnd w:id="21"/>
    <w:bookmarkStart w:id="22" w:name="Xa702b4110acd1e96a2b8b924222cff83f7ab46c"/>
    <w:p>
      <w:pPr>
        <w:pStyle w:val="Heading2"/>
      </w:pPr>
      <w:r>
        <w:t xml:space="preserve">6. EMEA and APAC remain a material risk</w:t>
      </w:r>
    </w:p>
    <w:p>
      <w:pPr>
        <w:pStyle w:val="FirstParagraph"/>
      </w:pPr>
      <w:r>
        <w:t xml:space="preserve">In Q1, EMEA and APAC reported:</w:t>
      </w:r>
    </w:p>
    <w:p>
      <w:pPr>
        <w:pStyle w:val="Compact"/>
        <w:numPr>
          <w:ilvl w:val="0"/>
          <w:numId w:val="1013"/>
        </w:numPr>
      </w:pPr>
      <w:r>
        <w:t xml:space="preserve">Constant-currency net sales down</w:t>
      </w:r>
      <w:r>
        <w:t xml:space="preserve"> </w:t>
      </w:r>
      <w:r>
        <w:rPr>
          <w:b/>
          <w:bCs/>
        </w:rPr>
        <w:t xml:space="preserve">1.2%</w:t>
      </w:r>
    </w:p>
    <w:p>
      <w:pPr>
        <w:pStyle w:val="Compact"/>
        <w:numPr>
          <w:ilvl w:val="0"/>
          <w:numId w:val="1013"/>
        </w:numPr>
      </w:pPr>
      <w:r>
        <w:t xml:space="preserve">Brand volume down</w:t>
      </w:r>
      <w:r>
        <w:t xml:space="preserve"> </w:t>
      </w:r>
      <w:r>
        <w:rPr>
          <w:b/>
          <w:bCs/>
        </w:rPr>
        <w:t xml:space="preserve">3.4%</w:t>
      </w:r>
    </w:p>
    <w:p>
      <w:pPr>
        <w:pStyle w:val="Compact"/>
        <w:numPr>
          <w:ilvl w:val="0"/>
          <w:numId w:val="1013"/>
        </w:numPr>
      </w:pPr>
      <w:r>
        <w:t xml:space="preserve">An underlying pretax loss of</w:t>
      </w:r>
      <w:r>
        <w:t xml:space="preserve"> </w:t>
      </w:r>
      <w:r>
        <w:rPr>
          <w:b/>
          <w:bCs/>
        </w:rPr>
        <w:t xml:space="preserve">$32.7 million</w:t>
      </w:r>
      <w:r>
        <w:t xml:space="preserve">, versus a $19.2 million loss a year earlier</w:t>
      </w:r>
    </w:p>
    <w:p>
      <w:pPr>
        <w:pStyle w:val="FirstParagraph"/>
      </w:pPr>
      <w:r>
        <w:t xml:space="preserve">The U.K. was particularly challenging because of soft demand and aggressive competitive pricing affecting Madrí. The region is also dealing with input inflation, geopolitical uncertainty and restructuring actions, including a planned U.K. brewery closure.</w:t>
      </w:r>
    </w:p>
    <w:p>
      <w:pPr>
        <w:pStyle w:val="BodyText"/>
      </w:pPr>
      <w:r>
        <w:t xml:space="preserve">There is an additional leadership consideration: EMEA and APAC CEO Philip Whitehead began a medical leave in June, with Simon Kerry appointed interim managing director.</w:t>
      </w:r>
    </w:p>
    <w:p>
      <w:pPr>
        <w:pStyle w:val="BodyText"/>
      </w:pPr>
      <w:r>
        <w:t xml:space="preserve">The market will want to see:</w:t>
      </w:r>
    </w:p>
    <w:p>
      <w:pPr>
        <w:pStyle w:val="Compact"/>
        <w:numPr>
          <w:ilvl w:val="0"/>
          <w:numId w:val="1014"/>
        </w:numPr>
      </w:pPr>
      <w:r>
        <w:t xml:space="preserve">Stabilizing Madrí trends</w:t>
      </w:r>
    </w:p>
    <w:p>
      <w:pPr>
        <w:pStyle w:val="Compact"/>
        <w:numPr>
          <w:ilvl w:val="0"/>
          <w:numId w:val="1014"/>
        </w:numPr>
      </w:pPr>
      <w:r>
        <w:t xml:space="preserve">Disciplined pricing rather than an escalating promotional response</w:t>
      </w:r>
    </w:p>
    <w:p>
      <w:pPr>
        <w:pStyle w:val="Compact"/>
        <w:numPr>
          <w:ilvl w:val="0"/>
          <w:numId w:val="1014"/>
        </w:numPr>
      </w:pPr>
      <w:r>
        <w:t xml:space="preserve">Progress from regional restructuring</w:t>
      </w:r>
    </w:p>
    <w:p>
      <w:pPr>
        <w:pStyle w:val="Compact"/>
        <w:numPr>
          <w:ilvl w:val="0"/>
          <w:numId w:val="1014"/>
        </w:numPr>
      </w:pPr>
      <w:r>
        <w:t xml:space="preserve">No further deterioration in regional profitability</w:t>
      </w:r>
    </w:p>
    <w:p>
      <w:r>
        <w:pict>
          <v:rect style="width:0;height:1.5pt" o:hralign="center" o:hrstd="t" o:hr="t"/>
        </w:pict>
      </w:r>
    </w:p>
    <w:bookmarkEnd w:id="22"/>
    <w:bookmarkStart w:id="23" w:name="X7f750eab37a0aef66f53dd727ab1112df92e074"/>
    <w:p>
      <w:pPr>
        <w:pStyle w:val="Heading2"/>
      </w:pPr>
      <w:r>
        <w:t xml:space="preserve">7. Cash flow, debt and repurchases</w:t>
      </w:r>
    </w:p>
    <w:p>
      <w:pPr>
        <w:pStyle w:val="FirstParagraph"/>
      </w:pPr>
      <w:r>
        <w:t xml:space="preserve">Capital returns remain an important part of the TAP thesis.</w:t>
      </w:r>
    </w:p>
    <w:p>
      <w:pPr>
        <w:pStyle w:val="BodyText"/>
      </w:pPr>
      <w:r>
        <w:t xml:space="preserve">In Q1, Molson Coors:</w:t>
      </w:r>
    </w:p>
    <w:p>
      <w:pPr>
        <w:pStyle w:val="Compact"/>
        <w:numPr>
          <w:ilvl w:val="0"/>
          <w:numId w:val="1015"/>
        </w:numPr>
      </w:pPr>
      <w:r>
        <w:t xml:space="preserve">Repurchased approximately</w:t>
      </w:r>
      <w:r>
        <w:t xml:space="preserve"> </w:t>
      </w:r>
      <w:r>
        <w:rPr>
          <w:b/>
          <w:bCs/>
        </w:rPr>
        <w:t xml:space="preserve">3.4 million shares</w:t>
      </w:r>
    </w:p>
    <w:p>
      <w:pPr>
        <w:pStyle w:val="Compact"/>
        <w:numPr>
          <w:ilvl w:val="0"/>
          <w:numId w:val="1015"/>
        </w:numPr>
      </w:pPr>
      <w:r>
        <w:t xml:space="preserve">Spent roughly</w:t>
      </w:r>
      <w:r>
        <w:t xml:space="preserve"> </w:t>
      </w:r>
      <w:r>
        <w:rPr>
          <w:b/>
          <w:bCs/>
        </w:rPr>
        <w:t xml:space="preserve">$169 million</w:t>
      </w:r>
      <w:r>
        <w:t xml:space="preserve">, including commissions, on buybacks</w:t>
      </w:r>
    </w:p>
    <w:p>
      <w:pPr>
        <w:pStyle w:val="Compact"/>
        <w:numPr>
          <w:ilvl w:val="0"/>
          <w:numId w:val="1015"/>
        </w:numPr>
      </w:pPr>
      <w:r>
        <w:t xml:space="preserve">Paid approximately</w:t>
      </w:r>
      <w:r>
        <w:t xml:space="preserve"> </w:t>
      </w:r>
      <w:r>
        <w:rPr>
          <w:b/>
          <w:bCs/>
        </w:rPr>
        <w:t xml:space="preserve">$94 million</w:t>
      </w:r>
      <w:r>
        <w:t xml:space="preserve"> </w:t>
      </w:r>
      <w:r>
        <w:t xml:space="preserve">in dividends</w:t>
      </w:r>
    </w:p>
    <w:p>
      <w:pPr>
        <w:pStyle w:val="Compact"/>
        <w:numPr>
          <w:ilvl w:val="0"/>
          <w:numId w:val="1015"/>
        </w:numPr>
      </w:pPr>
      <w:r>
        <w:t xml:space="preserve">Ended at</w:t>
      </w:r>
      <w:r>
        <w:t xml:space="preserve"> </w:t>
      </w:r>
      <w:r>
        <w:rPr>
          <w:b/>
          <w:bCs/>
        </w:rPr>
        <w:t xml:space="preserve">2.51x net leverage</w:t>
      </w:r>
    </w:p>
    <w:p>
      <w:pPr>
        <w:pStyle w:val="FirstParagraph"/>
      </w:pPr>
      <w:r>
        <w:t xml:space="preserve">The company subsequently issued:</w:t>
      </w:r>
    </w:p>
    <w:p>
      <w:pPr>
        <w:pStyle w:val="Compact"/>
        <w:numPr>
          <w:ilvl w:val="0"/>
          <w:numId w:val="1016"/>
        </w:numPr>
      </w:pPr>
      <w:r>
        <w:t xml:space="preserve">$500 million of 4.9% notes due 2031</w:t>
      </w:r>
    </w:p>
    <w:p>
      <w:pPr>
        <w:pStyle w:val="Compact"/>
        <w:numPr>
          <w:ilvl w:val="0"/>
          <w:numId w:val="1016"/>
        </w:numPr>
      </w:pPr>
      <w:r>
        <w:t xml:space="preserve">$1 billion of 5.5% notes due 2036</w:t>
      </w:r>
    </w:p>
    <w:p>
      <w:pPr>
        <w:pStyle w:val="Compact"/>
        <w:numPr>
          <w:ilvl w:val="0"/>
          <w:numId w:val="1016"/>
        </w:numPr>
      </w:pPr>
      <w:r>
        <w:t xml:space="preserve">C$500 million of 4.3% notes due 2033</w:t>
      </w:r>
    </w:p>
    <w:p>
      <w:pPr>
        <w:pStyle w:val="FirstParagraph"/>
      </w:pPr>
      <w:r>
        <w:t xml:space="preserve">The offerings generated approximately $1.85 billion of net proceeds, primarily to refinance 2026 maturities.</w:t>
      </w:r>
    </w:p>
    <w:p>
      <w:pPr>
        <w:pStyle w:val="BodyText"/>
      </w:pPr>
      <w:r>
        <w:t xml:space="preserve">The refinancing removes a near-term maturity issue, although the higher coupons reinforce the importance of achieving the company’s $260 million net-interest forecast. Management still intends to finish 2026 below 2.5x leverage.</w:t>
      </w:r>
    </w:p>
    <w:p>
      <w:pPr>
        <w:pStyle w:val="BodyText"/>
      </w:pPr>
      <w:r>
        <w:t xml:space="preserve">Watch for:</w:t>
      </w:r>
    </w:p>
    <w:p>
      <w:pPr>
        <w:pStyle w:val="Compact"/>
        <w:numPr>
          <w:ilvl w:val="0"/>
          <w:numId w:val="1017"/>
        </w:numPr>
      </w:pPr>
      <w:r>
        <w:t xml:space="preserve">The Q2 repurchase pace</w:t>
      </w:r>
    </w:p>
    <w:p>
      <w:pPr>
        <w:pStyle w:val="Compact"/>
        <w:numPr>
          <w:ilvl w:val="0"/>
          <w:numId w:val="1017"/>
        </w:numPr>
      </w:pPr>
      <w:r>
        <w:t xml:space="preserve">Any tension between buybacks and deleveraging</w:t>
      </w:r>
    </w:p>
    <w:p>
      <w:pPr>
        <w:pStyle w:val="Compact"/>
        <w:numPr>
          <w:ilvl w:val="0"/>
          <w:numId w:val="1017"/>
        </w:numPr>
      </w:pPr>
      <w:r>
        <w:t xml:space="preserve">Reaffirmation of $1.1 billion in free cash flow</w:t>
      </w:r>
    </w:p>
    <w:p>
      <w:pPr>
        <w:pStyle w:val="Compact"/>
        <w:numPr>
          <w:ilvl w:val="0"/>
          <w:numId w:val="1017"/>
        </w:numPr>
      </w:pPr>
      <w:r>
        <w:t xml:space="preserve">Working-capital effects from the shipment phasing</w:t>
      </w:r>
    </w:p>
    <w:p>
      <w:pPr>
        <w:pStyle w:val="Compact"/>
        <w:numPr>
          <w:ilvl w:val="0"/>
          <w:numId w:val="1017"/>
        </w:numPr>
      </w:pPr>
      <w:r>
        <w:t xml:space="preserve">Whether Monaco integration requires additional cash investment</w:t>
      </w:r>
    </w:p>
    <w:p>
      <w:r>
        <w:pict>
          <v:rect style="width:0;height:1.5pt" o:hralign="center" o:hrstd="t" o:hr="t"/>
        </w:pict>
      </w:r>
    </w:p>
    <w:bookmarkEnd w:id="23"/>
    <w:bookmarkStart w:id="26" w:name="bull-and-bear-scorecard"/>
    <w:p>
      <w:pPr>
        <w:pStyle w:val="Heading2"/>
      </w:pPr>
      <w:r>
        <w:t xml:space="preserve">Bull and bear scorecard</w:t>
      </w:r>
    </w:p>
    <w:bookmarkStart w:id="24" w:name="bullish-report"/>
    <w:p>
      <w:pPr>
        <w:pStyle w:val="Heading3"/>
      </w:pPr>
      <w:r>
        <w:t xml:space="preserve">Bullish report</w:t>
      </w:r>
    </w:p>
    <w:p>
      <w:pPr>
        <w:pStyle w:val="FirstParagraph"/>
      </w:pPr>
      <w:r>
        <w:t xml:space="preserve">A constructive result would include most of the following:</w:t>
      </w:r>
    </w:p>
    <w:p>
      <w:pPr>
        <w:pStyle w:val="Compact"/>
        <w:numPr>
          <w:ilvl w:val="0"/>
          <w:numId w:val="1018"/>
        </w:numPr>
      </w:pPr>
      <w:r>
        <w:t xml:space="preserve">U.S. financial volumes within the guided</w:t>
      </w:r>
      <w:r>
        <w:t xml:space="preserve"> </w:t>
      </w:r>
      <w:r>
        <w:rPr>
          <w:b/>
          <w:bCs/>
        </w:rPr>
        <w:t xml:space="preserve">-6% to -9%</w:t>
      </w:r>
      <w:r>
        <w:t xml:space="preserve"> </w:t>
      </w:r>
      <w:r>
        <w:t xml:space="preserve">range</w:t>
      </w:r>
    </w:p>
    <w:p>
      <w:pPr>
        <w:pStyle w:val="Compact"/>
        <w:numPr>
          <w:ilvl w:val="0"/>
          <w:numId w:val="1018"/>
        </w:numPr>
      </w:pPr>
      <w:r>
        <w:t xml:space="preserve">Brand volumes materially better than shipments</w:t>
      </w:r>
    </w:p>
    <w:p>
      <w:pPr>
        <w:pStyle w:val="Compact"/>
        <w:numPr>
          <w:ilvl w:val="0"/>
          <w:numId w:val="1018"/>
        </w:numPr>
      </w:pPr>
      <w:r>
        <w:t xml:space="preserve">Improved market share exiting Q2</w:t>
      </w:r>
    </w:p>
    <w:p>
      <w:pPr>
        <w:pStyle w:val="Compact"/>
        <w:numPr>
          <w:ilvl w:val="0"/>
          <w:numId w:val="1018"/>
        </w:numPr>
      </w:pPr>
      <w:r>
        <w:t xml:space="preserve">Miller Lite stabilization</w:t>
      </w:r>
    </w:p>
    <w:p>
      <w:pPr>
        <w:pStyle w:val="Compact"/>
        <w:numPr>
          <w:ilvl w:val="0"/>
          <w:numId w:val="1018"/>
        </w:numPr>
      </w:pPr>
      <w:r>
        <w:t xml:space="preserve">Strong Coors Banquet, on-premise and beyond-beer trends</w:t>
      </w:r>
    </w:p>
    <w:p>
      <w:pPr>
        <w:pStyle w:val="Compact"/>
        <w:numPr>
          <w:ilvl w:val="0"/>
          <w:numId w:val="1018"/>
        </w:numPr>
      </w:pPr>
      <w:r>
        <w:t xml:space="preserve">Commodity and MG&amp;A pressure characterized as peaking in Q2</w:t>
      </w:r>
    </w:p>
    <w:p>
      <w:pPr>
        <w:pStyle w:val="Compact"/>
        <w:numPr>
          <w:ilvl w:val="0"/>
          <w:numId w:val="1018"/>
        </w:numPr>
      </w:pPr>
      <w:r>
        <w:t xml:space="preserve">Full-year guidance reaffirmed</w:t>
      </w:r>
    </w:p>
    <w:p>
      <w:pPr>
        <w:pStyle w:val="Compact"/>
        <w:numPr>
          <w:ilvl w:val="0"/>
          <w:numId w:val="1018"/>
        </w:numPr>
      </w:pPr>
      <w:r>
        <w:t xml:space="preserve">Second-half shipment recovery maintained</w:t>
      </w:r>
    </w:p>
    <w:p>
      <w:pPr>
        <w:pStyle w:val="Compact"/>
        <w:numPr>
          <w:ilvl w:val="0"/>
          <w:numId w:val="1018"/>
        </w:numPr>
      </w:pPr>
      <w:r>
        <w:t xml:space="preserve">$1.1 billion free-cash-flow outlook reaffirmed</w:t>
      </w:r>
    </w:p>
    <w:p>
      <w:pPr>
        <w:pStyle w:val="Compact"/>
        <w:numPr>
          <w:ilvl w:val="0"/>
          <w:numId w:val="1018"/>
        </w:numPr>
      </w:pPr>
      <w:r>
        <w:t xml:space="preserve">Continued meaningful repurchases without higher year-end leverage</w:t>
      </w:r>
    </w:p>
    <w:bookmarkEnd w:id="24"/>
    <w:bookmarkStart w:id="25" w:name="bearish-report"/>
    <w:p>
      <w:pPr>
        <w:pStyle w:val="Heading3"/>
      </w:pPr>
      <w:r>
        <w:t xml:space="preserve">Bearish report</w:t>
      </w:r>
    </w:p>
    <w:p>
      <w:pPr>
        <w:pStyle w:val="FirstParagraph"/>
      </w:pPr>
      <w:r>
        <w:t xml:space="preserve">The thesis would weaken if:</w:t>
      </w:r>
    </w:p>
    <w:p>
      <w:pPr>
        <w:pStyle w:val="Compact"/>
        <w:numPr>
          <w:ilvl w:val="0"/>
          <w:numId w:val="1019"/>
        </w:numPr>
      </w:pPr>
      <w:r>
        <w:t xml:space="preserve">Financial volumes fall more than 9%</w:t>
      </w:r>
    </w:p>
    <w:p>
      <w:pPr>
        <w:pStyle w:val="Compact"/>
        <w:numPr>
          <w:ilvl w:val="0"/>
          <w:numId w:val="1019"/>
        </w:numPr>
      </w:pPr>
      <w:r>
        <w:t xml:space="preserve">Brand volumes are nearly as weak as shipments</w:t>
      </w:r>
    </w:p>
    <w:p>
      <w:pPr>
        <w:pStyle w:val="Compact"/>
        <w:numPr>
          <w:ilvl w:val="0"/>
          <w:numId w:val="1019"/>
        </w:numPr>
      </w:pPr>
      <w:r>
        <w:t xml:space="preserve">U.S. share losses accelerate</w:t>
      </w:r>
    </w:p>
    <w:p>
      <w:pPr>
        <w:pStyle w:val="Compact"/>
        <w:numPr>
          <w:ilvl w:val="0"/>
          <w:numId w:val="1019"/>
        </w:numPr>
      </w:pPr>
      <w:r>
        <w:t xml:space="preserve">Miller Lite or Coors Light deteriorates nationally</w:t>
      </w:r>
    </w:p>
    <w:p>
      <w:pPr>
        <w:pStyle w:val="Compact"/>
        <w:numPr>
          <w:ilvl w:val="0"/>
          <w:numId w:val="1019"/>
        </w:numPr>
      </w:pPr>
      <w:r>
        <w:t xml:space="preserve">World Cup spending produces little commercial improvement</w:t>
      </w:r>
    </w:p>
    <w:p>
      <w:pPr>
        <w:pStyle w:val="Compact"/>
        <w:numPr>
          <w:ilvl w:val="0"/>
          <w:numId w:val="1019"/>
        </w:numPr>
      </w:pPr>
      <w:r>
        <w:t xml:space="preserve">Midwest Premium costs exceed prior assumptions</w:t>
      </w:r>
    </w:p>
    <w:p>
      <w:pPr>
        <w:pStyle w:val="Compact"/>
        <w:numPr>
          <w:ilvl w:val="0"/>
          <w:numId w:val="1019"/>
        </w:numPr>
      </w:pPr>
      <w:r>
        <w:t xml:space="preserve">Management reduces full-year pretax-income, EPS or cash-flow guidance</w:t>
      </w:r>
    </w:p>
    <w:p>
      <w:pPr>
        <w:pStyle w:val="Compact"/>
        <w:numPr>
          <w:ilvl w:val="0"/>
          <w:numId w:val="1019"/>
        </w:numPr>
      </w:pPr>
      <w:r>
        <w:t xml:space="preserve">EMEA and APAC losses worsen materially</w:t>
      </w:r>
    </w:p>
    <w:p>
      <w:pPr>
        <w:pStyle w:val="Compact"/>
        <w:numPr>
          <w:ilvl w:val="0"/>
          <w:numId w:val="1019"/>
        </w:numPr>
      </w:pPr>
      <w:r>
        <w:t xml:space="preserve">The expected second-half shipment catch-up is reduced or delayed</w:t>
      </w:r>
    </w:p>
    <w:p>
      <w:r>
        <w:pict>
          <v:rect style="width:0;height:1.5pt" o:hralign="center" o:hrstd="t" o:hr="t"/>
        </w:pict>
      </w:r>
    </w:p>
    <w:bookmarkEnd w:id="25"/>
    <w:bookmarkEnd w:id="26"/>
    <w:bookmarkStart w:id="27" w:name="questions-management-needs-to-answer"/>
    <w:p>
      <w:pPr>
        <w:pStyle w:val="Heading2"/>
      </w:pPr>
      <w:r>
        <w:t xml:space="preserve">Questions management needs to answer</w:t>
      </w:r>
    </w:p>
    <w:p>
      <w:pPr>
        <w:pStyle w:val="Compact"/>
        <w:numPr>
          <w:ilvl w:val="0"/>
          <w:numId w:val="1020"/>
        </w:numPr>
      </w:pPr>
      <w:r>
        <w:rPr>
          <w:b/>
          <w:bCs/>
        </w:rPr>
        <w:t xml:space="preserve">How much better were U.S. brand volumes than financial volumes in Q2?</w:t>
      </w:r>
    </w:p>
    <w:p>
      <w:pPr>
        <w:pStyle w:val="Compact"/>
        <w:numPr>
          <w:ilvl w:val="0"/>
          <w:numId w:val="1020"/>
        </w:numPr>
      </w:pPr>
      <w:r>
        <w:rPr>
          <w:b/>
          <w:bCs/>
        </w:rPr>
        <w:t xml:space="preserve">Where did U.S. market share finish the quarter and how did the exit rate compare with Q1?</w:t>
      </w:r>
    </w:p>
    <w:p>
      <w:pPr>
        <w:pStyle w:val="Compact"/>
        <w:numPr>
          <w:ilvl w:val="0"/>
          <w:numId w:val="1020"/>
        </w:numPr>
      </w:pPr>
      <w:r>
        <w:rPr>
          <w:b/>
          <w:bCs/>
        </w:rPr>
        <w:t xml:space="preserve">Has Miller Lite improved in the Great Lakes region?</w:t>
      </w:r>
    </w:p>
    <w:p>
      <w:pPr>
        <w:pStyle w:val="Compact"/>
        <w:numPr>
          <w:ilvl w:val="0"/>
          <w:numId w:val="1020"/>
        </w:numPr>
      </w:pPr>
      <w:r>
        <w:rPr>
          <w:b/>
          <w:bCs/>
        </w:rPr>
        <w:t xml:space="preserve">Did supply constraints prevent the company from fully serving summer demand?</w:t>
      </w:r>
    </w:p>
    <w:p>
      <w:pPr>
        <w:pStyle w:val="Compact"/>
        <w:numPr>
          <w:ilvl w:val="0"/>
          <w:numId w:val="1020"/>
        </w:numPr>
      </w:pPr>
      <w:r>
        <w:rPr>
          <w:b/>
          <w:bCs/>
        </w:rPr>
        <w:t xml:space="preserve">Is Q2 still the peak quarter for Midwest Premium inflation and MG&amp;A growth?</w:t>
      </w:r>
    </w:p>
    <w:p>
      <w:pPr>
        <w:pStyle w:val="Compact"/>
        <w:numPr>
          <w:ilvl w:val="0"/>
          <w:numId w:val="1020"/>
        </w:numPr>
      </w:pPr>
      <w:r>
        <w:rPr>
          <w:b/>
          <w:bCs/>
        </w:rPr>
        <w:t xml:space="preserve">How much of the $450 million cost-savings program has been realized or contractually secured?</w:t>
      </w:r>
    </w:p>
    <w:p>
      <w:pPr>
        <w:pStyle w:val="Compact"/>
        <w:numPr>
          <w:ilvl w:val="0"/>
          <w:numId w:val="1020"/>
        </w:numPr>
      </w:pPr>
      <w:r>
        <w:rPr>
          <w:b/>
          <w:bCs/>
        </w:rPr>
        <w:t xml:space="preserve">What evidence supports shipments outpacing consumption in the second half?</w:t>
      </w:r>
    </w:p>
    <w:p>
      <w:pPr>
        <w:pStyle w:val="Compact"/>
        <w:numPr>
          <w:ilvl w:val="0"/>
          <w:numId w:val="1020"/>
        </w:numPr>
      </w:pPr>
      <w:r>
        <w:rPr>
          <w:b/>
          <w:bCs/>
        </w:rPr>
        <w:t xml:space="preserve">How is Monaco performing relative to the acquisition case?</w:t>
      </w:r>
    </w:p>
    <w:p>
      <w:pPr>
        <w:pStyle w:val="Compact"/>
        <w:numPr>
          <w:ilvl w:val="0"/>
          <w:numId w:val="1020"/>
        </w:numPr>
      </w:pPr>
      <w:r>
        <w:rPr>
          <w:b/>
          <w:bCs/>
        </w:rPr>
        <w:t xml:space="preserve">Are Madrí trends improving after the company adjusted its U.K. commercial strategy?</w:t>
      </w:r>
    </w:p>
    <w:p>
      <w:pPr>
        <w:pStyle w:val="Compact"/>
        <w:numPr>
          <w:ilvl w:val="0"/>
          <w:numId w:val="1020"/>
        </w:numPr>
      </w:pPr>
      <w:r>
        <w:rPr>
          <w:b/>
          <w:bCs/>
        </w:rPr>
        <w:t xml:space="preserve">Can Molson Coors maintain buybacks while finishing below 2.5x leverage?</w:t>
      </w:r>
    </w:p>
    <w:p>
      <w:r>
        <w:pict>
          <v:rect style="width:0;height:1.5pt" o:hralign="center" o:hrstd="t" o:hr="t"/>
        </w:pict>
      </w:r>
    </w:p>
    <w:bookmarkEnd w:id="27"/>
    <w:bookmarkStart w:id="28" w:name="bottom-line"/>
    <w:p>
      <w:pPr>
        <w:pStyle w:val="Heading2"/>
      </w:pPr>
      <w:r>
        <w:t xml:space="preserve">Bottom line</w:t>
      </w:r>
    </w:p>
    <w:p>
      <w:pPr>
        <w:pStyle w:val="FirstParagraph"/>
      </w:pPr>
      <w:r>
        <w:t xml:space="preserve">TAP enters Q2 with</w:t>
      </w:r>
      <w:r>
        <w:t xml:space="preserve"> </w:t>
      </w:r>
      <w:r>
        <w:rPr>
          <w:b/>
          <w:bCs/>
        </w:rPr>
        <w:t xml:space="preserve">low expectations, a low valuation and a quarter that management has already identified as unusually difficult</w:t>
      </w:r>
      <w:r>
        <w:t xml:space="preserve">. That creates potential for a positive reaction even if reported earnings decline sharply.</w:t>
      </w:r>
    </w:p>
    <w:p>
      <w:pPr>
        <w:pStyle w:val="BodyText"/>
      </w:pPr>
      <w:r>
        <w:t xml:space="preserve">The most important distinction is between</w:t>
      </w:r>
      <w:r>
        <w:t xml:space="preserve"> </w:t>
      </w:r>
      <w:r>
        <w:rPr>
          <w:b/>
          <w:bCs/>
        </w:rPr>
        <w:t xml:space="preserve">temporary shipment and cost phasing</w:t>
      </w:r>
      <w:r>
        <w:t xml:space="preserve"> </w:t>
      </w:r>
      <w:r>
        <w:t xml:space="preserve">and</w:t>
      </w:r>
      <w:r>
        <w:t xml:space="preserve"> </w:t>
      </w:r>
      <w:r>
        <w:rPr>
          <w:b/>
          <w:bCs/>
        </w:rPr>
        <w:t xml:space="preserve">structural brand weakness</w:t>
      </w:r>
      <w:r>
        <w:t xml:space="preserve">. If consumption trends improve, supply issues clear and management confidently reaffirms the second-half recovery, the quarter could mark the low point for the 2026 earnings cycle.</w:t>
      </w:r>
    </w:p>
    <w:p>
      <w:pPr>
        <w:pStyle w:val="BodyText"/>
      </w:pPr>
      <w:r>
        <w:t xml:space="preserve">If brand volumes and market share deteriorate alongside the known shipment and cost headwinds, however, the stock’s roughly nine-times earnings valuation may prove to be a value trap rather than an opportunity.</w:t>
      </w:r>
    </w:p>
    <w:p>
      <w:pPr>
        <w:pStyle w:val="BodyText"/>
      </w:pPr>
      <w:r>
        <w:rPr>
          <w:i/>
          <w:iCs/>
        </w:rPr>
        <w:t xml:space="preserve">Sources: Molson Coors earnings releases, SEC filings and earnings-call transcripts through August 6, 2026; stock price through the August 5 close.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2026-08-06T00:25:10Z</dcterms:created>
  <dcterms:modified xsi:type="dcterms:W3CDTF">2026-08-06T00:25:10Z</dcterms:modified>
</cp:coreProperties>
</file>

<file path=docProps/custom.xml><?xml version="1.0" encoding="utf-8"?>
<Properties xmlns="http://schemas.openxmlformats.org/officeDocument/2006/custom-properties" xmlns:vt="http://schemas.openxmlformats.org/officeDocument/2006/docPropsVTypes"/>
</file>