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ap-earnings-predictions--2026-08-06"/>
    <w:p>
      <w:pPr>
        <w:pStyle w:val="Heading1"/>
      </w:pPr>
      <w:r>
        <w:t xml:space="preserve">TAP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Underlying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~$1.62 vs. cons $1.77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~$3.18B vs. cons $3.20B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U.S. financial volume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~-9.4% vs. cons -7.5%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underlying pretax income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~$1.17B vs. cons $1.21B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underlying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~$5.38 vs. cons $5.59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underlying free cash flow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~$1.05B vs. cons $1.10B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-5.5%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-7.5% (FOLLOW-THROUGH)</w:t>
            </w:r>
          </w:p>
        </w:tc>
        <w:tc>
          <w:tcPr/>
          <w:p>
            <w:pPr>
              <w:pStyle w:val="Compact"/>
            </w:pPr>
            <w:r>
              <w:t xml:space="preserve">The anticipated EPS/volume miss is likely compounded by a FY26 pretax-income guide of ~</w:t>
            </w:r>
            <m:oMath>
              <m:r>
                <m:t>1.17</m:t>
              </m:r>
              <m:r>
                <m:t>B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1.21B consensus and FCF of ~</w:t>
            </w:r>
            <m:oMath>
              <m:r>
                <m:t>1.05</m:t>
              </m:r>
              <m:r>
                <m:t>B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1.10B, pulling down out-period estimates rather than leaving the quarter as a contained 2Q cost-phasing issue.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2026-08-06T00:22:35Z</dcterms:created>
  <dcterms:modified xsi:type="dcterms:W3CDTF">2026-08-06T00:22:35Z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