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f0293bb3b5a4c38928963bd4c071b9d074ecb57"/>
    <w:p>
      <w:pPr>
        <w:pStyle w:val="Heading1"/>
      </w:pPr>
      <w:r>
        <w:t xml:space="preserve">Molson Coors (NYSE: TAP) — 2Q26 Earnings Preview</w:t>
      </w:r>
    </w:p>
    <w:p>
      <w:pPr>
        <w:pStyle w:val="BlockText"/>
      </w:pPr>
      <w:r>
        <w:rPr>
          <w:b/>
          <w:bCs/>
        </w:rPr>
        <w:t xml:space="preserve">Timing note:</w:t>
      </w:r>
      <w:r>
        <w:t xml:space="preserve"> </w:t>
      </w:r>
      <w:r>
        <w:t xml:space="preserve">Today is</w:t>
      </w:r>
      <w:r>
        <w:t xml:space="preserve"> </w:t>
      </w:r>
      <w:r>
        <w:rPr>
          <w:b/>
          <w:bCs/>
        </w:rPr>
        <w:t xml:space="preserve">Thursday, August 6, 2026</w:t>
      </w:r>
      <w:r>
        <w:t xml:space="preserve">. The 2Q26 report/event referenced is therefore</w:t>
      </w:r>
      <w:r>
        <w:t xml:space="preserve"> </w:t>
      </w:r>
      <w:r>
        <w:rPr>
          <w:b/>
          <w:bCs/>
        </w:rPr>
        <w:t xml:space="preserve">today</w:t>
      </w:r>
      <w:r>
        <w:t xml:space="preserve">, not tomorrow. This preview reflects information available through the</w:t>
      </w:r>
      <w:r>
        <w:t xml:space="preserve"> </w:t>
      </w:r>
      <w:r>
        <w:rPr>
          <w:b/>
          <w:bCs/>
        </w:rPr>
        <w:t xml:space="preserve">August 5 close</w:t>
      </w:r>
      <w:r>
        <w:t xml:space="preserve">.</w:t>
      </w:r>
    </w:p>
    <w:bookmarkStart w:id="9" w:name="Xe59214035e8cdc0f52aa7830e97f4827ad6c34e"/>
    <w:p>
      <w:pPr>
        <w:pStyle w:val="Heading2"/>
      </w:pPr>
      <w:r>
        <w:t xml:space="preserve">Investment view: this is a “prove the second-half setup” quarter</w:t>
      </w:r>
    </w:p>
    <w:p>
      <w:pPr>
        <w:pStyle w:val="FirstParagraph"/>
      </w:pPr>
      <w:r>
        <w:t xml:space="preserve">TAP’s 2Q26 print is likely to look weak on the surface: management explicitly guided to</w:t>
      </w:r>
      <w:r>
        <w:t xml:space="preserve"> </w:t>
      </w:r>
      <w:r>
        <w:rPr>
          <w:b/>
          <w:bCs/>
        </w:rPr>
        <w:t xml:space="preserve">U.S. financial-volume declines of 6%–9%</w:t>
      </w:r>
      <w:r>
        <w:t xml:space="preserve">, its largest anticipated quarterly Midwest aluminum-premium cost increase, and a meaningful step-up in marketing, incentive compensation, technology, and Monaco integration spending.</w:t>
      </w:r>
    </w:p>
    <w:p>
      <w:pPr>
        <w:pStyle w:val="BodyText"/>
      </w:pPr>
      <w:r>
        <w:t xml:space="preserve">The more important question for investors is whether those pressures are</w:t>
      </w:r>
      <w:r>
        <w:t xml:space="preserve"> </w:t>
      </w:r>
      <w:r>
        <w:rPr>
          <w:b/>
          <w:bCs/>
        </w:rPr>
        <w:t xml:space="preserve">contained, anticipated, and temporary</w:t>
      </w:r>
      <w:r>
        <w:t xml:space="preserve">—or whether they signal a further deterioration in beer consumption, U.S. share, and profitability that puts full-year targets at risk.</w:t>
      </w:r>
    </w:p>
    <w:p>
      <w:pPr>
        <w:pStyle w:val="BodyText"/>
      </w:pPr>
      <w:r>
        <w:rPr>
          <w:b/>
          <w:bCs/>
        </w:rPr>
        <w:t xml:space="preserve">The key read-through will not be the headline EPS number alone.</w:t>
      </w:r>
      <w:r>
        <w:t xml:space="preserve"> </w:t>
      </w:r>
      <w:r>
        <w:t xml:space="preserve">Investors should focus on:</w:t>
      </w:r>
    </w:p>
    <w:p>
      <w:pPr>
        <w:pStyle w:val="Compact"/>
        <w:numPr>
          <w:ilvl w:val="0"/>
          <w:numId w:val="1001"/>
        </w:numPr>
      </w:pPr>
      <w:r>
        <w:rPr>
          <w:b/>
          <w:bCs/>
        </w:rPr>
        <w:t xml:space="preserve">U.S. sales-to-retailer / brand-volume trends and share direction</w:t>
      </w:r>
      <w:r>
        <w:t xml:space="preserve">, especially Miller Lite, Keystone, and the value portfolio.</w:t>
      </w:r>
    </w:p>
    <w:p>
      <w:pPr>
        <w:pStyle w:val="Compact"/>
        <w:numPr>
          <w:ilvl w:val="0"/>
          <w:numId w:val="1001"/>
        </w:numPr>
      </w:pPr>
      <w:r>
        <w:rPr>
          <w:b/>
          <w:bCs/>
        </w:rPr>
        <w:t xml:space="preserve">Whether production, glass-supply, and brewery-upgrade constraints were manageable</w:t>
      </w:r>
      <w:r>
        <w:t xml:space="preserve">, since these were expected to depress shipments more than consumption in 2Q.</w:t>
      </w:r>
    </w:p>
    <w:p>
      <w:pPr>
        <w:pStyle w:val="Compact"/>
        <w:numPr>
          <w:ilvl w:val="0"/>
          <w:numId w:val="1001"/>
        </w:numPr>
      </w:pPr>
      <w:r>
        <w:rPr>
          <w:b/>
          <w:bCs/>
        </w:rPr>
        <w:t xml:space="preserve">Reaffirmation of 2026 guidance</w:t>
      </w:r>
      <w:r>
        <w:t xml:space="preserve">, particularly the outlook for an improvement in shipment trends and share performance in the second half.</w:t>
      </w:r>
    </w:p>
    <w:p>
      <w:pPr>
        <w:pStyle w:val="Compact"/>
        <w:numPr>
          <w:ilvl w:val="0"/>
          <w:numId w:val="1001"/>
        </w:numPr>
      </w:pPr>
      <w:r>
        <w:rPr>
          <w:b/>
          <w:bCs/>
        </w:rPr>
        <w:t xml:space="preserve">The level of COGS and MG&amp;A pressure</w:t>
      </w:r>
      <w:r>
        <w:t xml:space="preserve">, and whether the company can still deliver its targeted free cash flow while investing heavily behind summer occasions and portfolio expansion.</w:t>
      </w:r>
    </w:p>
    <w:bookmarkEnd w:id="9"/>
    <w:bookmarkStart w:id="10" w:name="X0c6c825cf85c38093625b01a8c14c8030d89e41"/>
    <w:p>
      <w:pPr>
        <w:pStyle w:val="Heading2"/>
      </w:pPr>
      <w:r>
        <w:t xml:space="preserve">What TAP has already told investors to expect</w:t>
      </w:r>
    </w:p>
    <w:p>
      <w:pPr>
        <w:pStyle w:val="FirstParagraph"/>
      </w:pPr>
      <w:r>
        <w:t xml:space="preserve">In 1Q26, Molson Coors reaffirmed full-year guidance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w:t>
            </w:r>
          </w:p>
        </w:tc>
        <w:tc>
          <w:tcPr/>
          <w:p>
            <w:pPr>
              <w:pStyle w:val="Compact"/>
              <w:jc w:val="right"/>
            </w:pPr>
            <w:r>
              <w:t xml:space="preserve">Management outlook</w:t>
            </w:r>
          </w:p>
        </w:tc>
      </w:tr>
      <w:tr>
        <w:tc>
          <w:tcPr/>
          <w:p>
            <w:pPr>
              <w:pStyle w:val="Compact"/>
            </w:pPr>
            <w:r>
              <w:t xml:space="preserve">Constant-currency net sales</w:t>
            </w:r>
          </w:p>
        </w:tc>
        <w:tc>
          <w:tcPr/>
          <w:p>
            <w:pPr>
              <w:pStyle w:val="Compact"/>
              <w:jc w:val="right"/>
            </w:pPr>
            <w:r>
              <w:t xml:space="preserve">Flat, ±1%</w:t>
            </w:r>
          </w:p>
        </w:tc>
      </w:tr>
      <w:tr>
        <w:tc>
          <w:tcPr/>
          <w:p>
            <w:pPr>
              <w:pStyle w:val="Compact"/>
            </w:pPr>
            <w:r>
              <w:t xml:space="preserve">Underlying pretax income</w:t>
            </w:r>
          </w:p>
        </w:tc>
        <w:tc>
          <w:tcPr/>
          <w:p>
            <w:pPr>
              <w:pStyle w:val="Compact"/>
              <w:jc w:val="right"/>
            </w:pPr>
            <w:r>
              <w:rPr>
                <w:b/>
                <w:bCs/>
              </w:rPr>
              <w:t xml:space="preserve">Down 15%–18%</w:t>
            </w:r>
          </w:p>
        </w:tc>
      </w:tr>
      <w:tr>
        <w:tc>
          <w:tcPr/>
          <w:p>
            <w:pPr>
              <w:pStyle w:val="Compact"/>
            </w:pPr>
            <w:r>
              <w:t xml:space="preserve">Underlying EPS</w:t>
            </w:r>
          </w:p>
        </w:tc>
        <w:tc>
          <w:tcPr/>
          <w:p>
            <w:pPr>
              <w:pStyle w:val="Compact"/>
              <w:jc w:val="right"/>
            </w:pPr>
            <w:r>
              <w:rPr>
                <w:b/>
                <w:bCs/>
              </w:rPr>
              <w:t xml:space="preserve">Down 11%–15%</w:t>
            </w:r>
          </w:p>
        </w:tc>
      </w:tr>
      <w:tr>
        <w:tc>
          <w:tcPr/>
          <w:p>
            <w:pPr>
              <w:pStyle w:val="Compact"/>
            </w:pPr>
            <w:r>
              <w:t xml:space="preserve">Underlying free cash flow</w:t>
            </w:r>
          </w:p>
        </w:tc>
        <w:tc>
          <w:tcPr/>
          <w:p>
            <w:pPr>
              <w:pStyle w:val="Compact"/>
              <w:jc w:val="right"/>
            </w:pPr>
            <w:r>
              <w:rPr>
                <w:b/>
                <w:bCs/>
              </w:rPr>
              <w:t xml:space="preserve">$1.1B, ±10%</w:t>
            </w:r>
          </w:p>
        </w:tc>
      </w:tr>
      <w:tr>
        <w:tc>
          <w:tcPr/>
          <w:p>
            <w:pPr>
              <w:pStyle w:val="Compact"/>
            </w:pPr>
            <w:r>
              <w:t xml:space="preserve">Capital expenditure</w:t>
            </w:r>
          </w:p>
        </w:tc>
        <w:tc>
          <w:tcPr/>
          <w:p>
            <w:pPr>
              <w:pStyle w:val="Compact"/>
              <w:jc w:val="right"/>
            </w:pPr>
            <w:r>
              <w:rPr>
                <w:b/>
                <w:bCs/>
              </w:rPr>
              <w:t xml:space="preserve">$650M, ±5%</w:t>
            </w:r>
          </w:p>
        </w:tc>
      </w:tr>
      <w:tr>
        <w:tc>
          <w:tcPr/>
          <w:p>
            <w:pPr>
              <w:pStyle w:val="Compact"/>
            </w:pPr>
            <w:r>
              <w:t xml:space="preserve">Underlying tax rate</w:t>
            </w:r>
          </w:p>
        </w:tc>
        <w:tc>
          <w:tcPr/>
          <w:p>
            <w:pPr>
              <w:pStyle w:val="Compact"/>
              <w:jc w:val="right"/>
            </w:pPr>
            <w:r>
              <w:t xml:space="preserve">22%–24%</w:t>
            </w:r>
          </w:p>
        </w:tc>
      </w:tr>
    </w:tbl>
    <w:p>
      <w:pPr>
        <w:pStyle w:val="BodyText"/>
      </w:pPr>
      <w:r>
        <w:t xml:space="preserve">The company also provided unusually direct quarterly framing:</w:t>
      </w:r>
    </w:p>
    <w:p>
      <w:pPr>
        <w:pStyle w:val="Compact"/>
        <w:numPr>
          <w:ilvl w:val="0"/>
          <w:numId w:val="1002"/>
        </w:numPr>
      </w:pPr>
      <w:r>
        <w:rPr>
          <w:b/>
          <w:bCs/>
        </w:rPr>
        <w:t xml:space="preserve">U.S. financial volumes:</w:t>
      </w:r>
      <w:r>
        <w:t xml:space="preserve"> </w:t>
      </w:r>
      <w:r>
        <w:t xml:space="preserve">expected to be</w:t>
      </w:r>
      <w:r>
        <w:t xml:space="preserve"> </w:t>
      </w:r>
      <w:r>
        <w:rPr>
          <w:b/>
          <w:bCs/>
        </w:rPr>
        <w:t xml:space="preserve">down 6%–9% in 2Q26</w:t>
      </w:r>
      <w:r>
        <w:t xml:space="preserve">, below expected brand-volume trends.</w:t>
      </w:r>
    </w:p>
    <w:p>
      <w:pPr>
        <w:pStyle w:val="Compact"/>
        <w:numPr>
          <w:ilvl w:val="0"/>
          <w:numId w:val="1002"/>
        </w:numPr>
      </w:pPr>
      <w:r>
        <w:rPr>
          <w:b/>
          <w:bCs/>
        </w:rPr>
        <w:t xml:space="preserve">COGS:</w:t>
      </w:r>
      <w:r>
        <w:t xml:space="preserve"> </w:t>
      </w:r>
      <w:r>
        <w:t xml:space="preserve">Midwest Premium inflation expected in every quarter, with the</w:t>
      </w:r>
      <w:r>
        <w:t xml:space="preserve"> </w:t>
      </w:r>
      <w:r>
        <w:rPr>
          <w:b/>
          <w:bCs/>
        </w:rPr>
        <w:t xml:space="preserve">largest increase in 2Q</w:t>
      </w:r>
      <w:r>
        <w:t xml:space="preserve">.</w:t>
      </w:r>
    </w:p>
    <w:p>
      <w:pPr>
        <w:pStyle w:val="Compact"/>
        <w:numPr>
          <w:ilvl w:val="0"/>
          <w:numId w:val="1002"/>
        </w:numPr>
      </w:pPr>
      <w:r>
        <w:rPr>
          <w:b/>
          <w:bCs/>
        </w:rPr>
        <w:t xml:space="preserve">MG&amp;A:</w:t>
      </w:r>
      <w:r>
        <w:t xml:space="preserve"> </w:t>
      </w:r>
      <w:r>
        <w:t xml:space="preserve">expected to rise year over year from 2Q through 4Q, with the</w:t>
      </w:r>
      <w:r>
        <w:t xml:space="preserve"> </w:t>
      </w:r>
      <w:r>
        <w:rPr>
          <w:b/>
          <w:bCs/>
        </w:rPr>
        <w:t xml:space="preserve">largest increase in 2Q</w:t>
      </w:r>
      <w:r>
        <w:t xml:space="preserve">.</w:t>
      </w:r>
    </w:p>
    <w:p>
      <w:pPr>
        <w:pStyle w:val="FirstParagraph"/>
      </w:pPr>
      <w:r>
        <w:t xml:space="preserve">This matters because TAP has lowered the bar for 2Q profitability. A weak reported quarter is not necessarily thesis-breaking if it comes with evidence that the shortfall is largely shipment phasing, supply-chain timing, and planned investment—and if the back-half recovery remains credible.</w:t>
      </w:r>
    </w:p>
    <w:bookmarkEnd w:id="10"/>
    <w:bookmarkStart w:id="13" w:name="Xd59a6c61c9419ada1b0e7d4998d31b0b93411e7"/>
    <w:p>
      <w:pPr>
        <w:pStyle w:val="Heading2"/>
      </w:pPr>
      <w:r>
        <w:t xml:space="preserve">The central debate: temporary shipment pressure vs. underlying demand/share pressure</w:t>
      </w:r>
    </w:p>
    <w:bookmarkStart w:id="11" w:name="X6d97fc126231ff4dabda4fb7668da7264675e4e"/>
    <w:p>
      <w:pPr>
        <w:pStyle w:val="Heading3"/>
      </w:pPr>
      <w:r>
        <w:t xml:space="preserve">Why the quarter may look worse than consumption</w:t>
      </w:r>
    </w:p>
    <w:p>
      <w:pPr>
        <w:pStyle w:val="FirstParagraph"/>
      </w:pPr>
      <w:r>
        <w:t xml:space="preserve">Management said U.S. shipments would lag brand-volume trends in 2Q due to several factors:</w:t>
      </w:r>
    </w:p>
    <w:p>
      <w:pPr>
        <w:pStyle w:val="Compact"/>
        <w:numPr>
          <w:ilvl w:val="0"/>
          <w:numId w:val="1003"/>
        </w:numPr>
      </w:pPr>
      <w:r>
        <w:t xml:space="preserve">Higher distributor inventories in the prior-year comparison;</w:t>
      </w:r>
    </w:p>
    <w:p>
      <w:pPr>
        <w:pStyle w:val="Compact"/>
        <w:numPr>
          <w:ilvl w:val="0"/>
          <w:numId w:val="1003"/>
        </w:numPr>
      </w:pPr>
      <w:r>
        <w:t xml:space="preserve">Planned downtime for line upgrades at the Shenandoah brewery;</w:t>
      </w:r>
    </w:p>
    <w:p>
      <w:pPr>
        <w:pStyle w:val="Compact"/>
        <w:numPr>
          <w:ilvl w:val="0"/>
          <w:numId w:val="1003"/>
        </w:numPr>
      </w:pPr>
      <w:r>
        <w:t xml:space="preserve">Residual supply constraints in select packages and geographies, including glass availability;</w:t>
      </w:r>
    </w:p>
    <w:p>
      <w:pPr>
        <w:pStyle w:val="Compact"/>
        <w:numPr>
          <w:ilvl w:val="0"/>
          <w:numId w:val="1003"/>
        </w:numPr>
      </w:pPr>
      <w:r>
        <w:t xml:space="preserve">Earlier 1Q shipment timing that benefited financial volume relative to brand volume.</w:t>
      </w:r>
    </w:p>
    <w:p>
      <w:pPr>
        <w:pStyle w:val="FirstParagraph"/>
      </w:pPr>
      <w:r>
        <w:t xml:space="preserve">That creates a meaningful interpretation challenge. Investors should distinguish:</w:t>
      </w:r>
    </w:p>
    <w:p>
      <w:pPr>
        <w:pStyle w:val="Compact"/>
        <w:numPr>
          <w:ilvl w:val="0"/>
          <w:numId w:val="1004"/>
        </w:numPr>
      </w:pPr>
      <w:r>
        <w:rPr>
          <w:b/>
          <w:bCs/>
        </w:rPr>
        <w:t xml:space="preserve">STW / financial volume:</w:t>
      </w:r>
      <w:r>
        <w:t xml:space="preserve"> </w:t>
      </w:r>
      <w:r>
        <w:t xml:space="preserve">shipments to wholesalers, which are expected to be notably weak; from</w:t>
      </w:r>
    </w:p>
    <w:p>
      <w:pPr>
        <w:pStyle w:val="Compact"/>
        <w:numPr>
          <w:ilvl w:val="0"/>
          <w:numId w:val="1004"/>
        </w:numPr>
      </w:pPr>
      <w:r>
        <w:rPr>
          <w:b/>
          <w:bCs/>
        </w:rPr>
        <w:t xml:space="preserve">STR / brand volume:</w:t>
      </w:r>
      <w:r>
        <w:t xml:space="preserve"> </w:t>
      </w:r>
      <w:r>
        <w:t xml:space="preserve">closer to consumer-demand and market-share trends.</w:t>
      </w:r>
    </w:p>
    <w:p>
      <w:pPr>
        <w:pStyle w:val="FirstParagraph"/>
      </w:pPr>
      <w:r>
        <w:t xml:space="preserve">A shipment decline within the guided</w:t>
      </w:r>
      <w:r>
        <w:t xml:space="preserve"> </w:t>
      </w:r>
      <w:r>
        <w:rPr>
          <w:b/>
          <w:bCs/>
        </w:rPr>
        <w:t xml:space="preserve">6%–9%</w:t>
      </w:r>
      <w:r>
        <w:t xml:space="preserve"> </w:t>
      </w:r>
      <w:r>
        <w:t xml:space="preserve">range is not new information. A substantially worse decline, continued supply disruption, or STR trends that are also materially soft would be more concerning.</w:t>
      </w:r>
    </w:p>
    <w:bookmarkEnd w:id="11"/>
    <w:bookmarkStart w:id="12" w:name="Xb85155a743c42ebd68c0ef3f26271880e8442e4"/>
    <w:p>
      <w:pPr>
        <w:pStyle w:val="Heading3"/>
      </w:pPr>
      <w:r>
        <w:t xml:space="preserve">The real operating issue remains U.S. share</w:t>
      </w:r>
    </w:p>
    <w:p>
      <w:pPr>
        <w:pStyle w:val="FirstParagraph"/>
      </w:pPr>
      <w:r>
        <w:t xml:space="preserve">In 1Q, U.S. brand volume declined</w:t>
      </w:r>
      <w:r>
        <w:t xml:space="preserve"> </w:t>
      </w:r>
      <w:r>
        <w:rPr>
          <w:b/>
          <w:bCs/>
        </w:rPr>
        <w:t xml:space="preserve">3.5%</w:t>
      </w:r>
      <w:r>
        <w:t xml:space="preserve"> </w:t>
      </w:r>
      <w:r>
        <w:t xml:space="preserve">and management estimated U.S. volume share was down about</w:t>
      </w:r>
      <w:r>
        <w:t xml:space="preserve"> </w:t>
      </w:r>
      <w:r>
        <w:rPr>
          <w:b/>
          <w:bCs/>
        </w:rPr>
        <w:t xml:space="preserve">60 bps</w:t>
      </w:r>
      <w:r>
        <w:t xml:space="preserve">. The pressure was concentrated in core and value brands:</w:t>
      </w:r>
    </w:p>
    <w:p>
      <w:pPr>
        <w:pStyle w:val="Compact"/>
        <w:numPr>
          <w:ilvl w:val="0"/>
          <w:numId w:val="1005"/>
        </w:numPr>
      </w:pPr>
      <w:r>
        <w:rPr>
          <w:b/>
          <w:bCs/>
        </w:rPr>
        <w:t xml:space="preserve">Miller Lite:</w:t>
      </w:r>
      <w:r>
        <w:t xml:space="preserve"> </w:t>
      </w:r>
      <w:r>
        <w:t xml:space="preserve">challenged in select regions, especially around the Great Lakes, amid heightened competition.</w:t>
      </w:r>
    </w:p>
    <w:p>
      <w:pPr>
        <w:pStyle w:val="Compact"/>
        <w:numPr>
          <w:ilvl w:val="0"/>
          <w:numId w:val="1005"/>
        </w:numPr>
      </w:pPr>
      <w:r>
        <w:rPr>
          <w:b/>
          <w:bCs/>
        </w:rPr>
        <w:t xml:space="preserve">Keystone:</w:t>
      </w:r>
      <w:r>
        <w:t xml:space="preserve"> </w:t>
      </w:r>
      <w:r>
        <w:t xml:space="preserve">remains the clearest “leaky bucket” in the portfolio; new Keystone Apple and the return of Keystone Ice are intended to stabilize localized demand.</w:t>
      </w:r>
    </w:p>
    <w:p>
      <w:pPr>
        <w:pStyle w:val="Compact"/>
        <w:numPr>
          <w:ilvl w:val="0"/>
          <w:numId w:val="1005"/>
        </w:numPr>
      </w:pPr>
      <w:r>
        <w:rPr>
          <w:b/>
          <w:bCs/>
        </w:rPr>
        <w:t xml:space="preserve">Miller High Life:</w:t>
      </w:r>
      <w:r>
        <w:t xml:space="preserve"> </w:t>
      </w:r>
      <w:r>
        <w:t xml:space="preserve">comparatively healthier, particularly in on-premise, and expanding with Miller High Life Light.</w:t>
      </w:r>
    </w:p>
    <w:p>
      <w:pPr>
        <w:pStyle w:val="Compact"/>
        <w:numPr>
          <w:ilvl w:val="0"/>
          <w:numId w:val="1005"/>
        </w:numPr>
      </w:pPr>
      <w:r>
        <w:rPr>
          <w:b/>
          <w:bCs/>
        </w:rPr>
        <w:t xml:space="preserve">Coors Banquet:</w:t>
      </w:r>
      <w:r>
        <w:t xml:space="preserve"> </w:t>
      </w:r>
      <w:r>
        <w:t xml:space="preserve">continued momentum.</w:t>
      </w:r>
    </w:p>
    <w:p>
      <w:pPr>
        <w:pStyle w:val="Compact"/>
        <w:numPr>
          <w:ilvl w:val="0"/>
          <w:numId w:val="1005"/>
        </w:numPr>
      </w:pPr>
      <w:r>
        <w:rPr>
          <w:b/>
          <w:bCs/>
        </w:rPr>
        <w:t xml:space="preserve">Coors Light:</w:t>
      </w:r>
      <w:r>
        <w:t xml:space="preserve"> </w:t>
      </w:r>
      <w:r>
        <w:t xml:space="preserve">described as holding up relatively better.</w:t>
      </w:r>
    </w:p>
    <w:p>
      <w:pPr>
        <w:pStyle w:val="Compact"/>
        <w:numPr>
          <w:ilvl w:val="0"/>
          <w:numId w:val="1005"/>
        </w:numPr>
      </w:pPr>
      <w:r>
        <w:rPr>
          <w:b/>
          <w:bCs/>
        </w:rPr>
        <w:t xml:space="preserve">Above-premium and beyond beer:</w:t>
      </w:r>
      <w:r>
        <w:t xml:space="preserve"> </w:t>
      </w:r>
      <w:r>
        <w:t xml:space="preserve">Peroni, Fever-Tree, and Topo Chico Hard are more constructive parts of the portfolio.</w:t>
      </w:r>
    </w:p>
    <w:p>
      <w:pPr>
        <w:pStyle w:val="FirstParagraph"/>
      </w:pPr>
      <w:r>
        <w:t xml:space="preserve">For the stock, evidence that share losses are narrowing matters more than a near-term volume-growth inflection. Management’s stated near-term objective is to get key brands to</w:t>
      </w:r>
      <w:r>
        <w:t xml:space="preserve"> </w:t>
      </w:r>
      <w:r>
        <w:rPr>
          <w:b/>
          <w:bCs/>
        </w:rPr>
        <w:t xml:space="preserve">share stability</w:t>
      </w:r>
      <w:r>
        <w:t xml:space="preserve">, before returning them to growth.</w:t>
      </w:r>
    </w:p>
    <w:bookmarkEnd w:id="12"/>
    <w:bookmarkEnd w:id="13"/>
    <w:bookmarkStart w:id="14" w:name="Xb58795f0a1ce9489353eba25552b4b3c7444112"/>
    <w:p>
      <w:pPr>
        <w:pStyle w:val="Heading2"/>
      </w:pPr>
      <w:r>
        <w:t xml:space="preserve">Earnings setup: difficult comparisons and deliberately front-loaded costs</w:t>
      </w:r>
    </w:p>
    <w:p>
      <w:pPr>
        <w:pStyle w:val="FirstParagraph"/>
      </w:pPr>
      <w:r>
        <w:t xml:space="preserve">The 2Q25 comparison base was relatively strong: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2Q25 reported result</w:t>
            </w:r>
          </w:p>
        </w:tc>
        <w:tc>
          <w:tcPr/>
          <w:p>
            <w:pPr>
              <w:pStyle w:val="Compact"/>
              <w:jc w:val="right"/>
            </w:pPr>
            <w:r>
              <w:t xml:space="preserve">Value</w:t>
            </w:r>
          </w:p>
        </w:tc>
      </w:tr>
      <w:tr>
        <w:tc>
          <w:tcPr/>
          <w:p>
            <w:pPr>
              <w:pStyle w:val="Compact"/>
            </w:pPr>
            <w:r>
              <w:t xml:space="preserve">Net sales</w:t>
            </w:r>
          </w:p>
        </w:tc>
        <w:tc>
          <w:tcPr/>
          <w:p>
            <w:pPr>
              <w:pStyle w:val="Compact"/>
              <w:jc w:val="right"/>
            </w:pPr>
            <w:r>
              <w:t xml:space="preserve">$3.20B</w:t>
            </w:r>
          </w:p>
        </w:tc>
      </w:tr>
      <w:tr>
        <w:tc>
          <w:tcPr/>
          <w:p>
            <w:pPr>
              <w:pStyle w:val="Compact"/>
            </w:pPr>
            <w:r>
              <w:t xml:space="preserve">Underlying pretax income</w:t>
            </w:r>
          </w:p>
        </w:tc>
        <w:tc>
          <w:tcPr/>
          <w:p>
            <w:pPr>
              <w:pStyle w:val="Compact"/>
              <w:jc w:val="right"/>
            </w:pPr>
            <w:r>
              <w:t xml:space="preserve">$531.5M</w:t>
            </w:r>
          </w:p>
        </w:tc>
      </w:tr>
      <w:tr>
        <w:tc>
          <w:tcPr/>
          <w:p>
            <w:pPr>
              <w:pStyle w:val="Compact"/>
            </w:pPr>
            <w:r>
              <w:t xml:space="preserve">Underlying EPS</w:t>
            </w:r>
          </w:p>
        </w:tc>
        <w:tc>
          <w:tcPr/>
          <w:p>
            <w:pPr>
              <w:pStyle w:val="Compact"/>
              <w:jc w:val="right"/>
            </w:pPr>
            <w:r>
              <w:t xml:space="preserve">$2.05</w:t>
            </w:r>
          </w:p>
        </w:tc>
      </w:tr>
      <w:tr>
        <w:tc>
          <w:tcPr/>
          <w:p>
            <w:pPr>
              <w:pStyle w:val="Compact"/>
            </w:pPr>
            <w:r>
              <w:t xml:space="preserve">Financial volume</w:t>
            </w:r>
          </w:p>
        </w:tc>
        <w:tc>
          <w:tcPr/>
          <w:p>
            <w:pPr>
              <w:pStyle w:val="Compact"/>
              <w:jc w:val="right"/>
            </w:pPr>
            <w:r>
              <w:t xml:space="preserve">-7.0% YoY</w:t>
            </w:r>
          </w:p>
        </w:tc>
      </w:tr>
      <w:tr>
        <w:tc>
          <w:tcPr/>
          <w:p>
            <w:pPr>
              <w:pStyle w:val="Compact"/>
            </w:pPr>
            <w:r>
              <w:t xml:space="preserve">Brand volume</w:t>
            </w:r>
          </w:p>
        </w:tc>
        <w:tc>
          <w:tcPr/>
          <w:p>
            <w:pPr>
              <w:pStyle w:val="Compact"/>
              <w:jc w:val="right"/>
            </w:pPr>
            <w:r>
              <w:t xml:space="preserve">-5.1% YoY</w:t>
            </w:r>
          </w:p>
        </w:tc>
      </w:tr>
    </w:tbl>
    <w:p>
      <w:pPr>
        <w:pStyle w:val="BodyText"/>
      </w:pPr>
      <w:r>
        <w:t xml:space="preserve">For 2Q26, volume should again be negative, while the cost backdrop is harder:</w:t>
      </w:r>
    </w:p>
    <w:p>
      <w:pPr>
        <w:pStyle w:val="Compact"/>
        <w:numPr>
          <w:ilvl w:val="0"/>
          <w:numId w:val="1006"/>
        </w:numPr>
      </w:pPr>
      <w:r>
        <w:rPr>
          <w:b/>
          <w:bCs/>
        </w:rPr>
        <w:t xml:space="preserve">Aluminum / Midwest Premium:</w:t>
      </w:r>
      <w:r>
        <w:t xml:space="preserve"> </w:t>
      </w:r>
      <w:r>
        <w:t xml:space="preserve">1Q included roughly a</w:t>
      </w:r>
      <w:r>
        <w:t xml:space="preserve"> </w:t>
      </w:r>
      <w:r>
        <w:rPr>
          <w:b/>
          <w:bCs/>
        </w:rPr>
        <w:t xml:space="preserve">$30M</w:t>
      </w:r>
      <w:r>
        <w:t xml:space="preserve"> </w:t>
      </w:r>
      <w:r>
        <w:t xml:space="preserve">year-over-year Midwest Premium headwind; management expected the peak quarterly impact in 2Q.</w:t>
      </w:r>
    </w:p>
    <w:p>
      <w:pPr>
        <w:pStyle w:val="Compact"/>
        <w:numPr>
          <w:ilvl w:val="0"/>
          <w:numId w:val="1006"/>
        </w:numPr>
      </w:pPr>
      <w:r>
        <w:rPr>
          <w:b/>
          <w:bCs/>
        </w:rPr>
        <w:t xml:space="preserve">Marketing investment:</w:t>
      </w:r>
      <w:r>
        <w:t xml:space="preserve"> </w:t>
      </w:r>
      <w:r>
        <w:t xml:space="preserve">TAP is putting unusually large spending behind summer beer occasions, including the World Cup and America 250 activations.</w:t>
      </w:r>
    </w:p>
    <w:p>
      <w:pPr>
        <w:pStyle w:val="Compact"/>
        <w:numPr>
          <w:ilvl w:val="0"/>
          <w:numId w:val="1006"/>
        </w:numPr>
      </w:pPr>
      <w:r>
        <w:rPr>
          <w:b/>
          <w:bCs/>
        </w:rPr>
        <w:t xml:space="preserve">Incentive compensation:</w:t>
      </w:r>
      <w:r>
        <w:t xml:space="preserve"> </w:t>
      </w:r>
      <w:r>
        <w:t xml:space="preserve">expected to be materially higher than in 2025, with the largest increase in 2Q.</w:t>
      </w:r>
    </w:p>
    <w:p>
      <w:pPr>
        <w:pStyle w:val="Compact"/>
        <w:numPr>
          <w:ilvl w:val="0"/>
          <w:numId w:val="1006"/>
        </w:numPr>
      </w:pPr>
      <w:r>
        <w:rPr>
          <w:b/>
          <w:bCs/>
        </w:rPr>
        <w:t xml:space="preserve">Technology / ERP and Monaco integration:</w:t>
      </w:r>
      <w:r>
        <w:t xml:space="preserve"> </w:t>
      </w:r>
      <w:r>
        <w:t xml:space="preserve">further expense pressure.</w:t>
      </w:r>
    </w:p>
    <w:p>
      <w:pPr>
        <w:pStyle w:val="Compact"/>
        <w:numPr>
          <w:ilvl w:val="0"/>
          <w:numId w:val="1006"/>
        </w:numPr>
      </w:pPr>
      <w:r>
        <w:rPr>
          <w:b/>
          <w:bCs/>
        </w:rPr>
        <w:t xml:space="preserve">EMEA&amp;APAC:</w:t>
      </w:r>
      <w:r>
        <w:t xml:space="preserve"> </w:t>
      </w:r>
      <w:r>
        <w:t xml:space="preserve">soft U.K. demand and aggressive competition have weighed on volume and profitability.</w:t>
      </w:r>
    </w:p>
    <w:p>
      <w:pPr>
        <w:pStyle w:val="FirstParagraph"/>
      </w:pPr>
      <w:r>
        <w:t xml:space="preserve">Offsetting factors include continued pricing and premium-mix benefit, cost-savings actions, a better U.S. industry backdrop than 2025 according to management, and initial revenue/profit contribution from Monaco Cocktails.</w:t>
      </w:r>
    </w:p>
    <w:bookmarkEnd w:id="14"/>
    <w:bookmarkStart w:id="15" w:name="X4898394936fa1a408fde34a1c0a77021f0a4504"/>
    <w:p>
      <w:pPr>
        <w:pStyle w:val="Heading2"/>
      </w:pPr>
      <w:r>
        <w:t xml:space="preserve">Monaco: strategically important, but not a 2Q earnings savior</w:t>
      </w:r>
    </w:p>
    <w:p>
      <w:pPr>
        <w:pStyle w:val="FirstParagraph"/>
      </w:pPr>
      <w:r>
        <w:t xml:space="preserve">Molson Coors completed its</w:t>
      </w:r>
      <w:r>
        <w:t xml:space="preserve"> </w:t>
      </w:r>
      <w:r>
        <w:rPr>
          <w:b/>
          <w:bCs/>
        </w:rPr>
        <w:t xml:space="preserve">$275M acquisition of Monaco Cocktails</w:t>
      </w:r>
      <w:r>
        <w:t xml:space="preserve"> </w:t>
      </w:r>
      <w:r>
        <w:t xml:space="preserve">on April 1. The deal gives TAP an established RTD cocktail platform, stronger convenience-store exposure, and approximately 80 added sales personnel.</w:t>
      </w:r>
    </w:p>
    <w:p>
      <w:pPr>
        <w:pStyle w:val="BodyText"/>
      </w:pPr>
      <w:r>
        <w:t xml:space="preserve">Management expects Monaco to contribute around</w:t>
      </w:r>
      <w:r>
        <w:t xml:space="preserve"> </w:t>
      </w:r>
      <w:r>
        <w:rPr>
          <w:b/>
          <w:bCs/>
        </w:rPr>
        <w:t xml:space="preserve">1% of global net sales on a trailing-12-month basis</w:t>
      </w:r>
      <w:r>
        <w:t xml:space="preserve"> </w:t>
      </w:r>
      <w:r>
        <w:t xml:space="preserve">and to be incrementally profitable in year one. It is therefore strategically meaningful and helps diversify TAP beyond traditional beer, but it is not large enough to offset a broad deterioration in core beer demand.</w:t>
      </w:r>
    </w:p>
    <w:p>
      <w:pPr>
        <w:pStyle w:val="BodyText"/>
      </w:pPr>
      <w:r>
        <w:t xml:space="preserve">The key items to watch are:</w:t>
      </w:r>
    </w:p>
    <w:p>
      <w:pPr>
        <w:pStyle w:val="Compact"/>
        <w:numPr>
          <w:ilvl w:val="0"/>
          <w:numId w:val="1007"/>
        </w:numPr>
      </w:pPr>
      <w:r>
        <w:t xml:space="preserve">Initial shipment and distributor-acceptance trends;</w:t>
      </w:r>
    </w:p>
    <w:p>
      <w:pPr>
        <w:pStyle w:val="Compact"/>
        <w:numPr>
          <w:ilvl w:val="0"/>
          <w:numId w:val="1007"/>
        </w:numPr>
      </w:pPr>
      <w:r>
        <w:t xml:space="preserve">Whether integration costs are tracking as anticipated;</w:t>
      </w:r>
    </w:p>
    <w:p>
      <w:pPr>
        <w:pStyle w:val="Compact"/>
        <w:numPr>
          <w:ilvl w:val="0"/>
          <w:numId w:val="1007"/>
        </w:numPr>
      </w:pPr>
      <w:r>
        <w:t xml:space="preserve">The degree to which Monaco expands TAP’s point-of-sale execution for RTDs and other beyond-beer brands;</w:t>
      </w:r>
    </w:p>
    <w:p>
      <w:pPr>
        <w:pStyle w:val="Compact"/>
        <w:numPr>
          <w:ilvl w:val="0"/>
          <w:numId w:val="1007"/>
        </w:numPr>
      </w:pPr>
      <w:r>
        <w:t xml:space="preserve">Any signs that management sees additional M&amp;A opportunities as part of its Horizon 2030 portfolio strategy.</w:t>
      </w:r>
    </w:p>
    <w:bookmarkEnd w:id="15"/>
    <w:bookmarkStart w:id="16" w:name="emeaapac-an-underappreciated-risk"/>
    <w:p>
      <w:pPr>
        <w:pStyle w:val="Heading2"/>
      </w:pPr>
      <w:r>
        <w:t xml:space="preserve">EMEA&amp;APAC: an underappreciated risk</w:t>
      </w:r>
    </w:p>
    <w:p>
      <w:pPr>
        <w:pStyle w:val="FirstParagraph"/>
      </w:pPr>
      <w:r>
        <w:t xml:space="preserve">EMEA&amp;APAC was a material drag in 1Q: constant-currency sales fell</w:t>
      </w:r>
      <w:r>
        <w:t xml:space="preserve"> </w:t>
      </w:r>
      <w:r>
        <w:rPr>
          <w:b/>
          <w:bCs/>
        </w:rPr>
        <w:t xml:space="preserve">1.2%</w:t>
      </w:r>
      <w:r>
        <w:t xml:space="preserve">, brand volume declined</w:t>
      </w:r>
      <w:r>
        <w:t xml:space="preserve"> </w:t>
      </w:r>
      <w:r>
        <w:rPr>
          <w:b/>
          <w:bCs/>
        </w:rPr>
        <w:t xml:space="preserve">3.4%</w:t>
      </w:r>
      <w:r>
        <w:t xml:space="preserve">, and underlying pretax loss widened sharply. The U.K. was pressured by soft demand and aggressive competition, including pricing pressure on Madrí.</w:t>
      </w:r>
    </w:p>
    <w:p>
      <w:pPr>
        <w:pStyle w:val="BodyText"/>
      </w:pPr>
      <w:r>
        <w:t xml:space="preserve">There is also an execution transition: on</w:t>
      </w:r>
      <w:r>
        <w:t xml:space="preserve"> </w:t>
      </w:r>
      <w:r>
        <w:rPr>
          <w:b/>
          <w:bCs/>
        </w:rPr>
        <w:t xml:space="preserve">June 24</w:t>
      </w:r>
      <w:r>
        <w:t xml:space="preserve">, the company said EMEA&amp;APAC CEO Philip Whitehead would temporarily step away for medical reasons; U.K. and Ireland Managing Director Simon Kerry was appointed interim regional leader.</w:t>
      </w:r>
    </w:p>
    <w:p>
      <w:pPr>
        <w:pStyle w:val="BodyText"/>
      </w:pPr>
      <w:r>
        <w:t xml:space="preserve">Investors should listen for clarity on:</w:t>
      </w:r>
    </w:p>
    <w:p>
      <w:pPr>
        <w:pStyle w:val="Compact"/>
        <w:numPr>
          <w:ilvl w:val="0"/>
          <w:numId w:val="1008"/>
        </w:numPr>
      </w:pPr>
      <w:r>
        <w:t xml:space="preserve">U.K. market demand and pricing;</w:t>
      </w:r>
    </w:p>
    <w:p>
      <w:pPr>
        <w:pStyle w:val="Compact"/>
        <w:numPr>
          <w:ilvl w:val="0"/>
          <w:numId w:val="1008"/>
        </w:numPr>
      </w:pPr>
      <w:r>
        <w:t xml:space="preserve">Madrí’s competitive position;</w:t>
      </w:r>
    </w:p>
    <w:p>
      <w:pPr>
        <w:pStyle w:val="Compact"/>
        <w:numPr>
          <w:ilvl w:val="0"/>
          <w:numId w:val="1008"/>
        </w:numPr>
      </w:pPr>
      <w:r>
        <w:t xml:space="preserve">Cost-savings benefits from the announced U.K. brewery closure and other regional restructuring;</w:t>
      </w:r>
    </w:p>
    <w:p>
      <w:pPr>
        <w:pStyle w:val="Compact"/>
        <w:numPr>
          <w:ilvl w:val="0"/>
          <w:numId w:val="1008"/>
        </w:numPr>
      </w:pPr>
      <w:r>
        <w:t xml:space="preserve">Whether management’s confidence in the regional recovery has changed.</w:t>
      </w:r>
    </w:p>
    <w:bookmarkEnd w:id="16"/>
    <w:bookmarkStart w:id="20" w:name="what-would-be-bullish-neutral-or-bearish"/>
    <w:p>
      <w:pPr>
        <w:pStyle w:val="Heading2"/>
      </w:pPr>
      <w:r>
        <w:t xml:space="preserve">What would be bullish, neutral, or bearish?</w:t>
      </w:r>
    </w:p>
    <w:bookmarkStart w:id="17" w:name="bullish-outcome"/>
    <w:p>
      <w:pPr>
        <w:pStyle w:val="Heading3"/>
      </w:pPr>
      <w:r>
        <w:t xml:space="preserve">Bullish outcome</w:t>
      </w:r>
    </w:p>
    <w:p>
      <w:pPr>
        <w:pStyle w:val="Compact"/>
        <w:numPr>
          <w:ilvl w:val="0"/>
          <w:numId w:val="1009"/>
        </w:numPr>
      </w:pPr>
      <w:r>
        <w:t xml:space="preserve">U.S. shipment decline falls within the guided range, but</w:t>
      </w:r>
      <w:r>
        <w:t xml:space="preserve"> </w:t>
      </w:r>
      <w:r>
        <w:rPr>
          <w:b/>
          <w:bCs/>
        </w:rPr>
        <w:t xml:space="preserve">STR/brand-volume and share trends improve</w:t>
      </w:r>
      <w:r>
        <w:t xml:space="preserve"> </w:t>
      </w:r>
      <w:r>
        <w:t xml:space="preserve">sequentially.</w:t>
      </w:r>
    </w:p>
    <w:p>
      <w:pPr>
        <w:pStyle w:val="Compact"/>
        <w:numPr>
          <w:ilvl w:val="0"/>
          <w:numId w:val="1009"/>
        </w:numPr>
      </w:pPr>
      <w:r>
        <w:t xml:space="preserve">Supply constraints and brewery downtime are confirmed to be temporary and largely resolved.</w:t>
      </w:r>
    </w:p>
    <w:p>
      <w:pPr>
        <w:pStyle w:val="Compact"/>
        <w:numPr>
          <w:ilvl w:val="0"/>
          <w:numId w:val="1009"/>
        </w:numPr>
      </w:pPr>
      <w:r>
        <w:t xml:space="preserve">Gross-margin pressure is no worse than expected despite Midwest Premium inflation.</w:t>
      </w:r>
    </w:p>
    <w:p>
      <w:pPr>
        <w:pStyle w:val="Compact"/>
        <w:numPr>
          <w:ilvl w:val="0"/>
          <w:numId w:val="1009"/>
        </w:numPr>
      </w:pPr>
      <w:r>
        <w:t xml:space="preserve">Full-year guidance is reaffirmed, with credible detail supporting a second-half shipment and share improvement.</w:t>
      </w:r>
    </w:p>
    <w:p>
      <w:pPr>
        <w:pStyle w:val="Compact"/>
        <w:numPr>
          <w:ilvl w:val="0"/>
          <w:numId w:val="1009"/>
        </w:numPr>
      </w:pPr>
      <w:r>
        <w:t xml:space="preserve">Monaco, Fever-Tree, Topo Chico Hard, Peroni, and on-premise trends show tangible momentum.</w:t>
      </w:r>
    </w:p>
    <w:p>
      <w:pPr>
        <w:pStyle w:val="Compact"/>
        <w:numPr>
          <w:ilvl w:val="0"/>
          <w:numId w:val="1009"/>
        </w:numPr>
      </w:pPr>
      <w:r>
        <w:t xml:space="preserve">Free-cash-flow guidance and year-end leverage target of</w:t>
      </w:r>
      <w:r>
        <w:t xml:space="preserve"> </w:t>
      </w:r>
      <w:r>
        <w:rPr>
          <w:b/>
          <w:bCs/>
        </w:rPr>
        <w:t xml:space="preserve">below 2.5x</w:t>
      </w:r>
      <w:r>
        <w:t xml:space="preserve"> </w:t>
      </w:r>
      <w:r>
        <w:t xml:space="preserve">remain intact.</w:t>
      </w:r>
    </w:p>
    <w:bookmarkEnd w:id="17"/>
    <w:bookmarkStart w:id="18" w:name="neutral-outcome"/>
    <w:p>
      <w:pPr>
        <w:pStyle w:val="Heading3"/>
      </w:pPr>
      <w:r>
        <w:t xml:space="preserve">Neutral outcome</w:t>
      </w:r>
    </w:p>
    <w:p>
      <w:pPr>
        <w:pStyle w:val="Compact"/>
        <w:numPr>
          <w:ilvl w:val="0"/>
          <w:numId w:val="1010"/>
        </w:numPr>
      </w:pPr>
      <w:r>
        <w:t xml:space="preserve">Financial volume is weak as guided; profit is pressured by anticipated commodity and MG&amp;A headwinds.</w:t>
      </w:r>
    </w:p>
    <w:p>
      <w:pPr>
        <w:pStyle w:val="Compact"/>
        <w:numPr>
          <w:ilvl w:val="0"/>
          <w:numId w:val="1010"/>
        </w:numPr>
      </w:pPr>
      <w:r>
        <w:t xml:space="preserve">Guidance is reaffirmed, but management offers limited evidence that Miller Lite and value-brand share losses are improving.</w:t>
      </w:r>
    </w:p>
    <w:p>
      <w:pPr>
        <w:pStyle w:val="Compact"/>
        <w:numPr>
          <w:ilvl w:val="0"/>
          <w:numId w:val="1010"/>
        </w:numPr>
      </w:pPr>
      <w:r>
        <w:t xml:space="preserve">The call focuses on a back-half recovery without providing new proof points.</w:t>
      </w:r>
    </w:p>
    <w:bookmarkEnd w:id="18"/>
    <w:bookmarkStart w:id="19" w:name="bearish-outcome"/>
    <w:p>
      <w:pPr>
        <w:pStyle w:val="Heading3"/>
      </w:pPr>
      <w:r>
        <w:t xml:space="preserve">Bearish outcome</w:t>
      </w:r>
    </w:p>
    <w:p>
      <w:pPr>
        <w:pStyle w:val="Compact"/>
        <w:numPr>
          <w:ilvl w:val="0"/>
          <w:numId w:val="1011"/>
        </w:numPr>
      </w:pPr>
      <w:r>
        <w:t xml:space="preserve">U.S. volumes or share materially miss the already cautious setup.</w:t>
      </w:r>
    </w:p>
    <w:p>
      <w:pPr>
        <w:pStyle w:val="Compact"/>
        <w:numPr>
          <w:ilvl w:val="0"/>
          <w:numId w:val="1011"/>
        </w:numPr>
      </w:pPr>
      <w:r>
        <w:t xml:space="preserve">Supply-chain constraints persist beyond 2Q or impair summer selling execution.</w:t>
      </w:r>
    </w:p>
    <w:p>
      <w:pPr>
        <w:pStyle w:val="Compact"/>
        <w:numPr>
          <w:ilvl w:val="0"/>
          <w:numId w:val="1011"/>
        </w:numPr>
      </w:pPr>
      <w:r>
        <w:t xml:space="preserve">Input costs, promotional spending, or EMEA weakness lead to a cut in pretax-income, EPS, or free-cash-flow guidance.</w:t>
      </w:r>
    </w:p>
    <w:p>
      <w:pPr>
        <w:pStyle w:val="Compact"/>
        <w:numPr>
          <w:ilvl w:val="0"/>
          <w:numId w:val="1011"/>
        </w:numPr>
      </w:pPr>
      <w:r>
        <w:t xml:space="preserve">Management reduces confidence in H2 shipment outperformance or share stabilization.</w:t>
      </w:r>
    </w:p>
    <w:p>
      <w:pPr>
        <w:pStyle w:val="Compact"/>
        <w:numPr>
          <w:ilvl w:val="0"/>
          <w:numId w:val="1011"/>
        </w:numPr>
      </w:pPr>
      <w:r>
        <w:t xml:space="preserve">The company signals that the consumer is trading down more sharply, with pressure spreading beyond targeted value brands.</w:t>
      </w:r>
    </w:p>
    <w:bookmarkEnd w:id="19"/>
    <w:bookmarkEnd w:id="20"/>
    <w:bookmarkStart w:id="21" w:name="market-context"/>
    <w:p>
      <w:pPr>
        <w:pStyle w:val="Heading2"/>
      </w:pPr>
      <w:r>
        <w:t xml:space="preserve">Market context</w:t>
      </w:r>
    </w:p>
    <w:p>
      <w:pPr>
        <w:pStyle w:val="FirstParagraph"/>
      </w:pPr>
      <w:r>
        <w:t xml:space="preserve">TAP closed at</w:t>
      </w:r>
      <w:r>
        <w:t xml:space="preserve"> </w:t>
      </w:r>
      <w:r>
        <w:rPr>
          <w:b/>
          <w:bCs/>
        </w:rPr>
        <w:t xml:space="preserve">$41.88 on August 5</w:t>
      </w:r>
      <w:r>
        <w:t xml:space="preserve">, down roughly</w:t>
      </w:r>
      <w:r>
        <w:t xml:space="preserve"> </w:t>
      </w:r>
      <w:r>
        <w:rPr>
          <w:b/>
          <w:bCs/>
        </w:rPr>
        <w:t xml:space="preserve">11.6% year to date</w:t>
      </w:r>
      <w:r>
        <w:t xml:space="preserve"> </w:t>
      </w:r>
      <w:r>
        <w:t xml:space="preserve">from its January 2 closing price of $47.40. The shares have recovered from an early-June low near $38.43 but remain below the $42.74 close immediately before 1Q earnings on April 30.</w:t>
      </w:r>
    </w:p>
    <w:p>
      <w:pPr>
        <w:pStyle w:val="BodyText"/>
      </w:pPr>
      <w:r>
        <w:t xml:space="preserve">That positioning suggests the market is already aware of weak beer-category fundamentals and 2Q cost pressure. The incremental stock driver should therefore be</w:t>
      </w:r>
      <w:r>
        <w:t xml:space="preserve"> </w:t>
      </w:r>
      <w:r>
        <w:rPr>
          <w:b/>
          <w:bCs/>
        </w:rPr>
        <w:t xml:space="preserve">confidence in the 2H26 path</w:t>
      </w:r>
      <w:r>
        <w:t xml:space="preserve">, not simply whether 2Q EPS declines year over year.</w:t>
      </w:r>
    </w:p>
    <w:bookmarkEnd w:id="21"/>
    <w:bookmarkStart w:id="23" w:name="bottom-line"/>
    <w:p>
      <w:pPr>
        <w:pStyle w:val="Heading2"/>
      </w:pPr>
      <w:r>
        <w:t xml:space="preserve">Bottom line</w:t>
      </w:r>
    </w:p>
    <w:p>
      <w:pPr>
        <w:pStyle w:val="FirstParagraph"/>
      </w:pPr>
      <w:r>
        <w:t xml:space="preserve">TAP enters earnings with a low-quality near-term print largely telegraphed by management: weak shipments, peak commodity inflation, and elevated investment. The investable question is whether the company can demonstrate that these are the costs of resetting the business—rather than evidence that its core brands are losing relevance or that its guidance is too optimistic.</w:t>
      </w:r>
    </w:p>
    <w:p>
      <w:pPr>
        <w:pStyle w:val="BodyText"/>
      </w:pPr>
      <w:r>
        <w:rPr>
          <w:b/>
          <w:bCs/>
        </w:rPr>
        <w:t xml:space="preserve">My focus on the call:</w:t>
      </w:r>
      <w:r>
        <w:t xml:space="preserve"> </w:t>
      </w:r>
      <w:r>
        <w:t xml:space="preserve">U.S. share stabilization, the magnitude of the gap between shipments and consumption, execution during the summer selling season, confidence in H2 improvement, and the preservation of the $1.1B free-cash-flow framework.</w:t>
      </w:r>
    </w:p>
    <w:bookmarkStart w:id="22" w:name="research-reviewed"/>
    <w:p>
      <w:pPr>
        <w:pStyle w:val="Heading3"/>
      </w:pPr>
      <w:r>
        <w:t xml:space="preserve">Research reviewed</w:t>
      </w:r>
    </w:p>
    <w:p>
      <w:pPr>
        <w:pStyle w:val="Compact"/>
        <w:numPr>
          <w:ilvl w:val="0"/>
          <w:numId w:val="1012"/>
        </w:numPr>
      </w:pPr>
      <w:r>
        <w:t xml:space="preserve">Molson Coors 1Q26 earnings release and earnings-call transcript — April 30, 2026</w:t>
      </w:r>
    </w:p>
    <w:p>
      <w:pPr>
        <w:pStyle w:val="Compact"/>
        <w:numPr>
          <w:ilvl w:val="0"/>
          <w:numId w:val="1012"/>
        </w:numPr>
      </w:pPr>
      <w:r>
        <w:t xml:space="preserve">Molson Coors 2Q25 earnings release — August 5, 2025</w:t>
      </w:r>
    </w:p>
    <w:p>
      <w:pPr>
        <w:pStyle w:val="Compact"/>
        <w:numPr>
          <w:ilvl w:val="0"/>
          <w:numId w:val="1012"/>
        </w:numPr>
      </w:pPr>
      <w:r>
        <w:t xml:space="preserve">Molson Coors 8-K on EMEA&amp;APAC leadership transition — June 24, 2026</w:t>
      </w:r>
    </w:p>
    <w:p>
      <w:pPr>
        <w:pStyle w:val="Compact"/>
        <w:numPr>
          <w:ilvl w:val="0"/>
          <w:numId w:val="1012"/>
        </w:numPr>
      </w:pPr>
      <w:r>
        <w:t xml:space="preserve">TAP historical closing-price data through August 5, 2026</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2026-08-06T00:22:35Z</dcterms:created>
  <dcterms:modified xsi:type="dcterms:W3CDTF">2026-08-06T00:22:35Z</dcterms:modified>
</cp:coreProperties>
</file>

<file path=docProps/custom.xml><?xml version="1.0" encoding="utf-8"?>
<Properties xmlns="http://schemas.openxmlformats.org/officeDocument/2006/custom-properties" xmlns:vt="http://schemas.openxmlformats.org/officeDocument/2006/docPropsVTypes"/>
</file>