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Molson Coors Beverage Company (TAP)</w:t>
      </w:r>
    </w:p>
    <w:p>
      <w:pPr>
        <w:pStyle w:val="Heading2"/>
      </w:pPr>
      <w:r>
        <w:rPr>
          <w:rFonts w:ascii="Calibri" w:hAnsi="Calibri"/>
          <w:b/>
          <w:color w:val="3B4259"/>
          <w:sz w:val="28"/>
        </w:rPr>
        <w:t>Q2 2026 Earnings Preview</w:t>
      </w:r>
    </w:p>
    <w:p>
      <w:r>
        <w:rPr>
          <w:rFonts w:ascii="Calibri" w:hAnsi="Calibri"/>
          <w:b/>
          <w:color w:val="525866"/>
          <w:sz w:val="22"/>
        </w:rPr>
        <w:t xml:space="preserve">Earnings Date: </w:t>
      </w:r>
      <w:r>
        <w:rPr>
          <w:rFonts w:ascii="Calibri" w:hAnsi="Calibri"/>
          <w:color w:val="525866"/>
          <w:sz w:val="22"/>
        </w:rPr>
        <w:t xml:space="preserve">August 6, 2026 (pre-market)   </w:t>
      </w:r>
      <w:r>
        <w:rPr>
          <w:rFonts w:ascii="Calibri" w:hAnsi="Calibri"/>
          <w:b/>
          <w:color w:val="525866"/>
          <w:sz w:val="22"/>
        </w:rPr>
        <w:t xml:space="preserve">Prepared: </w:t>
      </w:r>
      <w:r>
        <w:rPr>
          <w:rFonts w:ascii="Calibri" w:hAnsi="Calibri"/>
          <w:color w:val="525866"/>
          <w:sz w:val="22"/>
        </w:rPr>
        <w:t xml:space="preserve">August 5, 2026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mixed-to-cautious — consensus has been revised sharply lower since Q1 earnings (Q2 EPS cut ~57% from $3.56 to $1.52), creating a low bar, but the quarter carries genuine execution risk from guided U.S. shipment declines of 6–9%, peak Midwest Premium aluminum headwinds, and a step-up in MG&amp;A; the biggest swing factor is whether brand volumes hold up better than shipments imply and whether the World Cup/Americas 250th marketing spend drives any measurable demand lift.</w:t>
      </w:r>
    </w:p>
    <w:p>
      <w:r>
        <w:rPr>
          <w:rFonts w:ascii="Calibri" w:hAnsi="Calibri"/>
          <w:color w:val="525866"/>
          <w:sz w:val="22"/>
        </w:rPr>
        <w:t>TAP heads into Q2 2026 with a dramatically reset consensus bar — underlying EPS estimates have been cut roughly in half since last year — yet the quarter is structurally challenged by management's own guidance. On the top line, U.S. financial volumes are guided down 6–9% vs. 2025, trailing brand volume trends due to a confluence of supply-chain disruptions (weather/energy events, glass supply constraints, planned Shenandoah brewery downtime) and the cycling of elevated Q2 2025 inventory levels; shipments are expected to reverse and outpace brand volumes in H2. Cost pressure peaks in Q2, with Midwest Premium aluminum representing the largest year-over-year headwind of the year (Q1 alone added ~$30M to COGS) and MG&amp;A guided to its biggest sequential increase of 2026 driven by higher incentive compensation and the company's largest media investment in years around the FIFA World Cup and Americas 250th anniversary. The stock has underperformed materially since Q1 earnings — down ~2% vs. XLP +1.2% and SPY +7.1% — trading at just 8.7x NTM P/E, a multi-year trough that reflects both structural beer category skepticism and near-term earnings pressure. The wildcard is consumer demand: STZ's Q1 commentary flagged a "modest reacceleration" in beer consumption as gas-price headwinds abated in late June, and AB InBev confirmed the World Cup provided a measurable volume lift — if TAP's on-premise momentum (all top-6 brands gained share in Q1) carried into Q2, the volume picture could surprise to the upside even as shipments lag.</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low bar on EPS ($1.52 vs. $2.05 in Q2 2025, -26% YoY) with the Street already pricing in the guided shipment disruption and peak cost headwinds; net sales is the bigger swing factor given the wide shipment guidance range (down 6–9%), while EPS could surprise if phasing benefits (as in Q1) or cost savings outperform.</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($B)</w:t>
            </w:r>
          </w:p>
        </w:tc>
        <w:tc>
          <w:tcPr>
            <w:tcW w:type="dxa" w:w="1234"/>
          </w:tcPr>
          <w:p>
            <w:r>
              <w:rPr>
                <w:rFonts w:ascii="Calibri" w:hAnsi="Calibri"/>
                <w:sz w:val="22"/>
              </w:rPr>
              <w:t>$2.351B</w:t>
            </w:r>
          </w:p>
        </w:tc>
        <w:tc>
          <w:tcPr>
            <w:tcW w:type="dxa" w:w="1234"/>
          </w:tcPr>
          <w:p>
            <w:r>
              <w:rPr>
                <w:rFonts w:ascii="Calibri" w:hAnsi="Calibri"/>
                <w:sz w:val="22"/>
              </w:rPr>
              <w:t>$3.201B</w:t>
            </w:r>
          </w:p>
        </w:tc>
        <w:tc>
          <w:tcPr>
            <w:tcW w:type="dxa" w:w="1234"/>
          </w:tcPr>
          <w:p>
            <w:r>
              <w:rPr>
                <w:rFonts w:ascii="Calibri" w:hAnsi="Calibri"/>
                <w:sz w:val="22"/>
              </w:rPr>
              <w:t>$3.093B</w:t>
            </w:r>
          </w:p>
        </w:tc>
        <w:tc>
          <w:tcPr>
            <w:tcW w:type="dxa" w:w="1234"/>
          </w:tcPr>
          <w:p>
            <w:r>
              <w:rPr>
                <w:rFonts w:ascii="Calibri" w:hAnsi="Calibri"/>
                <w:b/>
                <w:color w:val="E5484D"/>
                <w:sz w:val="22"/>
              </w:rPr>
              <w:t>-3.4%</w:t>
            </w:r>
          </w:p>
        </w:tc>
        <w:tc>
          <w:tcPr>
            <w:tcW w:type="dxa" w:w="1234"/>
          </w:tcPr>
          <w:p>
            <w:r>
              <w:rPr>
                <w:rFonts w:ascii="Calibri" w:hAnsi="Calibri"/>
                <w:sz w:val="22"/>
              </w:rPr>
              <w:t>Flat ±1% CC (FY); Q2 U.S. vols -6% to -9%</w:t>
            </w:r>
          </w:p>
        </w:tc>
        <w:tc>
          <w:tcPr>
            <w:tcW w:type="dxa" w:w="1234"/>
          </w:tcPr>
          <w:p>
            <w:r>
              <w:rPr>
                <w:rFonts w:ascii="Calibri" w:hAnsi="Calibri"/>
                <w:sz w:val="22"/>
              </w:rPr>
              <w:t>Broadly in line with guided range</w:t>
            </w:r>
          </w:p>
        </w:tc>
      </w:tr>
      <w:tr>
        <w:tc>
          <w:tcPr>
            <w:tcW w:type="dxa" w:w="1234"/>
          </w:tcPr>
          <w:p>
            <w:r>
              <w:rPr>
                <w:rFonts w:ascii="Calibri" w:hAnsi="Calibri"/>
                <w:sz w:val="22"/>
              </w:rPr>
              <w:t>Underlying Diluted EPS ($)</w:t>
            </w:r>
          </w:p>
        </w:tc>
        <w:tc>
          <w:tcPr>
            <w:tcW w:type="dxa" w:w="1234"/>
          </w:tcPr>
          <w:p>
            <w:r>
              <w:rPr>
                <w:rFonts w:ascii="Calibri" w:hAnsi="Calibri"/>
                <w:sz w:val="22"/>
              </w:rPr>
              <w:t>$0.62</w:t>
            </w:r>
          </w:p>
        </w:tc>
        <w:tc>
          <w:tcPr>
            <w:tcW w:type="dxa" w:w="1234"/>
          </w:tcPr>
          <w:p>
            <w:r>
              <w:rPr>
                <w:rFonts w:ascii="Calibri" w:hAnsi="Calibri"/>
                <w:sz w:val="22"/>
              </w:rPr>
              <w:t>$2.05</w:t>
            </w:r>
          </w:p>
        </w:tc>
        <w:tc>
          <w:tcPr>
            <w:tcW w:type="dxa" w:w="1234"/>
          </w:tcPr>
          <w:p>
            <w:r>
              <w:rPr>
                <w:rFonts w:ascii="Calibri" w:hAnsi="Calibri"/>
                <w:sz w:val="22"/>
              </w:rPr>
              <w:t>$1.52</w:t>
            </w:r>
          </w:p>
        </w:tc>
        <w:tc>
          <w:tcPr>
            <w:tcW w:type="dxa" w:w="1234"/>
          </w:tcPr>
          <w:p>
            <w:r>
              <w:rPr>
                <w:rFonts w:ascii="Calibri" w:hAnsi="Calibri"/>
                <w:b/>
                <w:color w:val="E5484D"/>
                <w:sz w:val="22"/>
              </w:rPr>
              <w:t>-25.9%</w:t>
            </w:r>
          </w:p>
        </w:tc>
        <w:tc>
          <w:tcPr>
            <w:tcW w:type="dxa" w:w="1234"/>
          </w:tcPr>
          <w:p>
            <w:r>
              <w:rPr>
                <w:rFonts w:ascii="Calibri" w:hAnsi="Calibri"/>
                <w:sz w:val="22"/>
              </w:rPr>
              <w:t>FY decline 11–15% vs. 2025</w:t>
            </w:r>
          </w:p>
        </w:tc>
        <w:tc>
          <w:tcPr>
            <w:tcW w:type="dxa" w:w="1234"/>
          </w:tcPr>
          <w:p>
            <w:r>
              <w:rPr>
                <w:rFonts w:ascii="Calibri" w:hAnsi="Calibri"/>
                <w:sz w:val="22"/>
              </w:rPr>
              <w:t>Consistent with FY guidance range</w:t>
            </w:r>
          </w:p>
        </w:tc>
      </w:tr>
      <w:tr>
        <w:tc>
          <w:tcPr>
            <w:tcW w:type="dxa" w:w="1234"/>
          </w:tcPr>
          <w:p>
            <w:r>
              <w:rPr>
                <w:rFonts w:ascii="Calibri" w:hAnsi="Calibri"/>
                <w:sz w:val="22"/>
              </w:rPr>
              <w:t>Americas Brand Volume (Mhl)</w:t>
            </w:r>
          </w:p>
        </w:tc>
        <w:tc>
          <w:tcPr>
            <w:tcW w:type="dxa" w:w="1234"/>
          </w:tcPr>
          <w:p>
            <w:r>
              <w:rPr>
                <w:rFonts w:ascii="Calibri" w:hAnsi="Calibri"/>
                <w:sz w:val="22"/>
              </w:rPr>
              <w:t>11.575 Mhl</w:t>
            </w:r>
          </w:p>
        </w:tc>
        <w:tc>
          <w:tcPr>
            <w:tcW w:type="dxa" w:w="1234"/>
          </w:tcPr>
          <w:p>
            <w:r>
              <w:rPr>
                <w:rFonts w:ascii="Calibri" w:hAnsi="Calibri"/>
                <w:sz w:val="22"/>
              </w:rPr>
              <w:t>15.038 Mhl</w:t>
            </w:r>
          </w:p>
        </w:tc>
        <w:tc>
          <w:tcPr>
            <w:tcW w:type="dxa" w:w="1234"/>
          </w:tcPr>
          <w:p>
            <w:r>
              <w:rPr>
                <w:rFonts w:ascii="Calibri" w:hAnsi="Calibri"/>
                <w:sz w:val="22"/>
              </w:rPr>
              <w:t>14.168 Mhl</w:t>
            </w:r>
          </w:p>
        </w:tc>
        <w:tc>
          <w:tcPr>
            <w:tcW w:type="dxa" w:w="1234"/>
          </w:tcPr>
          <w:p>
            <w:r>
              <w:rPr>
                <w:rFonts w:ascii="Calibri" w:hAnsi="Calibri"/>
                <w:b/>
                <w:color w:val="E5484D"/>
                <w:sz w:val="22"/>
              </w:rPr>
              <w:t>-5.8%</w:t>
            </w:r>
          </w:p>
        </w:tc>
        <w:tc>
          <w:tcPr>
            <w:tcW w:type="dxa" w:w="1234"/>
          </w:tcPr>
          <w:p>
            <w:r>
              <w:rPr>
                <w:rFonts w:ascii="Calibri" w:hAnsi="Calibri"/>
                <w:sz w:val="22"/>
              </w:rPr>
              <w:t>U.S. financial vols -6% to -9% (shipments trail brand vols)</w:t>
            </w:r>
          </w:p>
        </w:tc>
        <w:tc>
          <w:tcPr>
            <w:tcW w:type="dxa" w:w="1234"/>
          </w:tcPr>
          <w:p>
            <w:r>
              <w:rPr>
                <w:rFonts w:ascii="Calibri" w:hAnsi="Calibri"/>
                <w:sz w:val="22"/>
              </w:rPr>
              <w:t>Shipment guidance implies further downside risk</w:t>
            </w:r>
          </w:p>
        </w:tc>
      </w:tr>
      <w:tr>
        <w:tc>
          <w:tcPr>
            <w:tcW w:type="dxa" w:w="1234"/>
          </w:tcPr>
          <w:p>
            <w:r>
              <w:rPr>
                <w:rFonts w:ascii="Calibri" w:hAnsi="Calibri"/>
                <w:sz w:val="22"/>
              </w:rPr>
              <w:t>Free Cash Flow ($M)</w:t>
            </w:r>
          </w:p>
        </w:tc>
        <w:tc>
          <w:tcPr>
            <w:tcW w:type="dxa" w:w="1234"/>
          </w:tcPr>
          <w:p>
            <w:r>
              <w:rPr>
                <w:rFonts w:ascii="Calibri" w:hAnsi="Calibri"/>
                <w:sz w:val="22"/>
              </w:rPr>
              <w:t>-$228M</w:t>
            </w:r>
          </w:p>
        </w:tc>
        <w:tc>
          <w:tcPr>
            <w:tcW w:type="dxa" w:w="1234"/>
          </w:tcPr>
          <w:p>
            <w:r>
              <w:rPr>
                <w:rFonts w:ascii="Calibri" w:hAnsi="Calibri"/>
                <w:sz w:val="22"/>
              </w:rPr>
              <w:t>$557M</w:t>
            </w:r>
          </w:p>
        </w:tc>
        <w:tc>
          <w:tcPr>
            <w:tcW w:type="dxa" w:w="1234"/>
          </w:tcPr>
          <w:p>
            <w:r>
              <w:rPr>
                <w:rFonts w:ascii="Calibri" w:hAnsi="Calibri"/>
                <w:sz w:val="22"/>
              </w:rPr>
              <w:t>$558M</w:t>
            </w:r>
          </w:p>
        </w:tc>
        <w:tc>
          <w:tcPr>
            <w:tcW w:type="dxa" w:w="1234"/>
          </w:tcPr>
          <w:p>
            <w:r>
              <w:rPr>
                <w:rFonts w:ascii="Calibri" w:hAnsi="Calibri"/>
                <w:sz w:val="22"/>
              </w:rPr>
              <w:t>+0.2%</w:t>
            </w:r>
          </w:p>
        </w:tc>
        <w:tc>
          <w:tcPr>
            <w:tcW w:type="dxa" w:w="1234"/>
          </w:tcPr>
          <w:p>
            <w:r>
              <w:rPr>
                <w:rFonts w:ascii="Calibri" w:hAnsi="Calibri"/>
                <w:sz w:val="22"/>
              </w:rPr>
              <w:t>FY $1.1B ±10%</w:t>
            </w:r>
          </w:p>
        </w:tc>
        <w:tc>
          <w:tcPr>
            <w:tcW w:type="dxa" w:w="1234"/>
          </w:tcPr>
          <w:p>
            <w:r>
              <w:rPr>
                <w:rFonts w:ascii="Calibri" w:hAnsi="Calibri"/>
                <w:sz w:val="22"/>
              </w:rPr>
              <w:t>Tracking to FY target</w:t>
            </w:r>
          </w:p>
        </w:tc>
      </w:tr>
    </w:tbl>
    <w:p>
      <w:r>
        <w:rPr>
          <w:rFonts w:ascii="Calibri" w:hAnsi="Calibri"/>
          <w:i/>
          <w:color w:val="525866"/>
          <w:sz w:val="22"/>
        </w:rPr>
        <w:t xml:space="preserve">Source: Visible Alpha Consensus and Actuals Data. Net Sales: </w:t>
      </w:r>
      <w:r>
        <w:rPr>
          <w:rFonts w:ascii="Calibri" w:hAnsi="Calibri"/>
          <w:i/>
          <w:color w:val="525866"/>
          <w:sz w:val="22"/>
        </w:rPr>
        <w:t>https://insights.visiblealpha.com/mex/TAP_US/NMV/IS</w:t>
      </w:r>
      <w:r>
        <w:rPr>
          <w:rFonts w:ascii="Calibri" w:hAnsi="Calibri"/>
          <w:i/>
          <w:color w:val="525866"/>
          <w:sz w:val="22"/>
        </w:rPr>
        <w:t xml:space="preserve">. Diluted EPS – Operating: </w:t>
      </w:r>
      <w:r>
        <w:rPr>
          <w:rFonts w:ascii="Calibri" w:hAnsi="Calibri"/>
          <w:i/>
          <w:color w:val="525866"/>
          <w:sz w:val="22"/>
        </w:rPr>
        <w:t>https://insights.visiblealpha.com/mex/TAP_US/NMV/IS</w:t>
      </w:r>
      <w:r>
        <w:rPr>
          <w:rFonts w:ascii="Calibri" w:hAnsi="Calibri"/>
          <w:i/>
          <w:color w:val="525866"/>
          <w:sz w:val="22"/>
        </w:rPr>
        <w:t xml:space="preserve">. Americas Brand Volume: </w:t>
      </w:r>
      <w:r>
        <w:rPr>
          <w:rFonts w:ascii="Calibri" w:hAnsi="Calibri"/>
          <w:i/>
          <w:color w:val="525866"/>
          <w:sz w:val="22"/>
        </w:rPr>
        <w:t>https://insights.visiblealpha.com/mex/TAP_US/NMV/BV</w:t>
      </w:r>
      <w:r>
        <w:rPr>
          <w:rFonts w:ascii="Calibri" w:hAnsi="Calibri"/>
          <w:i/>
          <w:color w:val="525866"/>
          <w:sz w:val="22"/>
        </w:rPr>
        <w:t xml:space="preserve">. Free Cash Flow: </w:t>
      </w:r>
      <w:r>
        <w:rPr>
          <w:rFonts w:ascii="Calibri" w:hAnsi="Calibri"/>
          <w:i/>
          <w:color w:val="525866"/>
          <w:sz w:val="22"/>
        </w:rPr>
        <w:t>https://insights.visiblealpha.com/mex/TAP_US/NMV/CF</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$2.351B</w:t>
            </w:r>
          </w:p>
        </w:tc>
        <w:tc>
          <w:tcPr>
            <w:tcW w:type="dxa" w:w="1728"/>
          </w:tcPr>
          <w:p>
            <w:r>
              <w:rPr>
                <w:rFonts w:ascii="Calibri" w:hAnsi="Calibri"/>
                <w:sz w:val="22"/>
              </w:rPr>
              <w:t>$2.334B</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$2.662B</w:t>
            </w:r>
          </w:p>
        </w:tc>
        <w:tc>
          <w:tcPr>
            <w:tcW w:type="dxa" w:w="1728"/>
          </w:tcPr>
          <w:p>
            <w:r>
              <w:rPr>
                <w:rFonts w:ascii="Calibri" w:hAnsi="Calibri"/>
                <w:sz w:val="22"/>
              </w:rPr>
              <w:t>$2.708B</w:t>
            </w:r>
          </w:p>
        </w:tc>
        <w:tc>
          <w:tcPr>
            <w:tcW w:type="dxa" w:w="1728"/>
          </w:tcPr>
          <w:p>
            <w:r>
              <w:rPr>
                <w:rFonts w:ascii="Calibri" w:hAnsi="Calibri"/>
                <w:sz w:val="22"/>
              </w:rPr>
              <w:t>-1.7%</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$2.974B</w:t>
            </w:r>
          </w:p>
        </w:tc>
        <w:tc>
          <w:tcPr>
            <w:tcW w:type="dxa" w:w="1728"/>
          </w:tcPr>
          <w:p>
            <w:r>
              <w:rPr>
                <w:rFonts w:ascii="Calibri" w:hAnsi="Calibri"/>
                <w:sz w:val="22"/>
              </w:rPr>
              <w:t>$3.016B</w:t>
            </w:r>
          </w:p>
        </w:tc>
        <w:tc>
          <w:tcPr>
            <w:tcW w:type="dxa" w:w="1728"/>
          </w:tcPr>
          <w:p>
            <w:r>
              <w:rPr>
                <w:rFonts w:ascii="Calibri" w:hAnsi="Calibri"/>
                <w:sz w:val="22"/>
              </w:rPr>
              <w:t>-1.4%</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$3.201B</w:t>
            </w:r>
          </w:p>
        </w:tc>
        <w:tc>
          <w:tcPr>
            <w:tcW w:type="dxa" w:w="1728"/>
          </w:tcPr>
          <w:p>
            <w:r>
              <w:rPr>
                <w:rFonts w:ascii="Calibri" w:hAnsi="Calibri"/>
                <w:sz w:val="22"/>
              </w:rPr>
              <w:t>$3.118B</w:t>
            </w:r>
          </w:p>
        </w:tc>
        <w:tc>
          <w:tcPr>
            <w:tcW w:type="dxa" w:w="1728"/>
          </w:tcPr>
          <w:p>
            <w:r>
              <w:rPr>
                <w:rFonts w:ascii="Calibri" w:hAnsi="Calibri"/>
                <w:sz w:val="22"/>
              </w:rPr>
              <w:t>+2.7%</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$2.304B</w:t>
            </w:r>
          </w:p>
        </w:tc>
        <w:tc>
          <w:tcPr>
            <w:tcW w:type="dxa" w:w="1728"/>
          </w:tcPr>
          <w:p>
            <w:r>
              <w:rPr>
                <w:rFonts w:ascii="Calibri" w:hAnsi="Calibri"/>
                <w:sz w:val="22"/>
              </w:rPr>
              <w:t>$2.429B</w:t>
            </w:r>
          </w:p>
        </w:tc>
        <w:tc>
          <w:tcPr>
            <w:tcW w:type="dxa" w:w="1728"/>
          </w:tcPr>
          <w:p>
            <w:r>
              <w:rPr>
                <w:rFonts w:ascii="Calibri" w:hAnsi="Calibri"/>
                <w:sz w:val="22"/>
              </w:rPr>
              <w:t>-5.1%</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$2.736B</w:t>
            </w:r>
          </w:p>
        </w:tc>
        <w:tc>
          <w:tcPr>
            <w:tcW w:type="dxa" w:w="1728"/>
          </w:tcPr>
          <w:p>
            <w:r>
              <w:rPr>
                <w:rFonts w:ascii="Calibri" w:hAnsi="Calibri"/>
                <w:sz w:val="22"/>
              </w:rPr>
              <w:t>$2.706B</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$3.043B</w:t>
            </w:r>
          </w:p>
        </w:tc>
        <w:tc>
          <w:tcPr>
            <w:tcW w:type="dxa" w:w="1728"/>
          </w:tcPr>
          <w:p>
            <w:r>
              <w:rPr>
                <w:rFonts w:ascii="Calibri" w:hAnsi="Calibri"/>
                <w:sz w:val="22"/>
              </w:rPr>
              <w:t>$3.150B</w:t>
            </w:r>
          </w:p>
        </w:tc>
        <w:tc>
          <w:tcPr>
            <w:tcW w:type="dxa" w:w="1728"/>
          </w:tcPr>
          <w:p>
            <w:r>
              <w:rPr>
                <w:rFonts w:ascii="Calibri" w:hAnsi="Calibri"/>
                <w:sz w:val="22"/>
              </w:rPr>
              <w:t>-3.4%</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$3.201B</w:t>
            </w:r>
          </w:p>
        </w:tc>
        <w:tc>
          <w:tcPr>
            <w:tcW w:type="dxa" w:w="1728"/>
          </w:tcPr>
          <w:p>
            <w:r>
              <w:rPr>
                <w:rFonts w:ascii="Calibri" w:hAnsi="Calibri"/>
                <w:sz w:val="22"/>
              </w:rPr>
              <w:t>N/A — prior period</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Underlying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$0.62</w:t>
            </w:r>
          </w:p>
        </w:tc>
        <w:tc>
          <w:tcPr>
            <w:tcW w:type="dxa" w:w="1728"/>
          </w:tcPr>
          <w:p>
            <w:r>
              <w:rPr>
                <w:rFonts w:ascii="Calibri" w:hAnsi="Calibri"/>
                <w:sz w:val="22"/>
              </w:rPr>
              <w:t>$0.36</w:t>
            </w:r>
          </w:p>
        </w:tc>
        <w:tc>
          <w:tcPr>
            <w:tcW w:type="dxa" w:w="1728"/>
          </w:tcPr>
          <w:p>
            <w:r>
              <w:rPr>
                <w:rFonts w:ascii="Calibri" w:hAnsi="Calibri"/>
                <w:sz w:val="22"/>
              </w:rPr>
              <w:t>+72.2%</w:t>
            </w:r>
          </w:p>
        </w:tc>
        <w:tc>
          <w:tcPr>
            <w:tcW w:type="dxa" w:w="1728"/>
          </w:tcPr>
          <w:p>
            <w:r>
              <w:rPr>
                <w:rFonts w:ascii="Calibri" w:hAnsi="Calibri"/>
                <w:b/>
                <w:color w:val="30A46C"/>
                <w:sz w:val="22"/>
              </w:rPr>
              <w:t>Large Beat</w:t>
            </w:r>
          </w:p>
        </w:tc>
      </w:tr>
      <w:tr>
        <w:tc>
          <w:tcPr>
            <w:tcW w:type="dxa" w:w="1728"/>
          </w:tcPr>
          <w:p>
            <w:r>
              <w:rPr>
                <w:rFonts w:ascii="Calibri" w:hAnsi="Calibri"/>
                <w:sz w:val="22"/>
              </w:rPr>
              <w:t>Q4 2025</w:t>
            </w:r>
          </w:p>
        </w:tc>
        <w:tc>
          <w:tcPr>
            <w:tcW w:type="dxa" w:w="1728"/>
          </w:tcPr>
          <w:p>
            <w:r>
              <w:rPr>
                <w:rFonts w:ascii="Calibri" w:hAnsi="Calibri"/>
                <w:sz w:val="22"/>
              </w:rPr>
              <w:t>$1.21</w:t>
            </w:r>
          </w:p>
        </w:tc>
        <w:tc>
          <w:tcPr>
            <w:tcW w:type="dxa" w:w="1728"/>
          </w:tcPr>
          <w:p>
            <w:r>
              <w:rPr>
                <w:rFonts w:ascii="Calibri" w:hAnsi="Calibri"/>
                <w:sz w:val="22"/>
              </w:rPr>
              <w:t>$1.14</w:t>
            </w:r>
          </w:p>
        </w:tc>
        <w:tc>
          <w:tcPr>
            <w:tcW w:type="dxa" w:w="1728"/>
          </w:tcPr>
          <w:p>
            <w:r>
              <w:rPr>
                <w:rFonts w:ascii="Calibri" w:hAnsi="Calibri"/>
                <w:sz w:val="22"/>
              </w:rPr>
              <w:t>+6.1%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$1.67</w:t>
            </w:r>
          </w:p>
        </w:tc>
        <w:tc>
          <w:tcPr>
            <w:tcW w:type="dxa" w:w="1728"/>
          </w:tcPr>
          <w:p>
            <w:r>
              <w:rPr>
                <w:rFonts w:ascii="Calibri" w:hAnsi="Calibri"/>
                <w:sz w:val="22"/>
              </w:rPr>
              <w:t>$1.69</w:t>
            </w:r>
          </w:p>
        </w:tc>
        <w:tc>
          <w:tcPr>
            <w:tcW w:type="dxa" w:w="1728"/>
          </w:tcPr>
          <w:p>
            <w:r>
              <w:rPr>
                <w:rFonts w:ascii="Calibri" w:hAnsi="Calibri"/>
                <w:sz w:val="22"/>
              </w:rPr>
              <w:t>-1.2%</w:t>
            </w:r>
          </w:p>
        </w:tc>
        <w:tc>
          <w:tcPr>
            <w:tcW w:type="dxa" w:w="1728"/>
          </w:tcPr>
          <w:p>
            <w:r>
              <w:rPr>
                <w:rFonts w:ascii="Calibri" w:hAnsi="Calibri"/>
                <w:b/>
                <w:color w:val="E5484D"/>
                <w:sz w:val="22"/>
              </w:rPr>
              <w:t>In Line / Slight Miss</w:t>
            </w:r>
          </w:p>
        </w:tc>
      </w:tr>
      <w:tr>
        <w:tc>
          <w:tcPr>
            <w:tcW w:type="dxa" w:w="1728"/>
          </w:tcPr>
          <w:p>
            <w:r>
              <w:rPr>
                <w:rFonts w:ascii="Calibri" w:hAnsi="Calibri"/>
                <w:sz w:val="22"/>
              </w:rPr>
              <w:t>Q2 2025</w:t>
            </w:r>
          </w:p>
        </w:tc>
        <w:tc>
          <w:tcPr>
            <w:tcW w:type="dxa" w:w="1728"/>
          </w:tcPr>
          <w:p>
            <w:r>
              <w:rPr>
                <w:rFonts w:ascii="Calibri" w:hAnsi="Calibri"/>
                <w:sz w:val="22"/>
              </w:rPr>
              <w:t>$2.05</w:t>
            </w:r>
          </w:p>
        </w:tc>
        <w:tc>
          <w:tcPr>
            <w:tcW w:type="dxa" w:w="1728"/>
          </w:tcPr>
          <w:p>
            <w:r>
              <w:rPr>
                <w:rFonts w:ascii="Calibri" w:hAnsi="Calibri"/>
                <w:sz w:val="22"/>
              </w:rPr>
              <w:t>$1.86</w:t>
            </w:r>
          </w:p>
        </w:tc>
        <w:tc>
          <w:tcPr>
            <w:tcW w:type="dxa" w:w="1728"/>
          </w:tcPr>
          <w:p>
            <w:r>
              <w:rPr>
                <w:rFonts w:ascii="Calibri" w:hAnsi="Calibri"/>
                <w:sz w:val="22"/>
              </w:rPr>
              <w:t>+10.2%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$0.50</w:t>
            </w:r>
          </w:p>
        </w:tc>
        <w:tc>
          <w:tcPr>
            <w:tcW w:type="dxa" w:w="1728"/>
          </w:tcPr>
          <w:p>
            <w:r>
              <w:rPr>
                <w:rFonts w:ascii="Calibri" w:hAnsi="Calibri"/>
                <w:sz w:val="22"/>
              </w:rPr>
              <w:t>$0.82</w:t>
            </w:r>
          </w:p>
        </w:tc>
        <w:tc>
          <w:tcPr>
            <w:tcW w:type="dxa" w:w="1728"/>
          </w:tcPr>
          <w:p>
            <w:r>
              <w:rPr>
                <w:rFonts w:ascii="Calibri" w:hAnsi="Calibri"/>
                <w:sz w:val="22"/>
              </w:rPr>
              <w:t>-39.0%</w:t>
            </w:r>
          </w:p>
        </w:tc>
        <w:tc>
          <w:tcPr>
            <w:tcW w:type="dxa" w:w="1728"/>
          </w:tcPr>
          <w:p>
            <w:r>
              <w:rPr>
                <w:rFonts w:ascii="Calibri" w:hAnsi="Calibri"/>
                <w:b/>
                <w:color w:val="E5484D"/>
                <w:sz w:val="22"/>
              </w:rPr>
              <w:t>Large Miss</w:t>
            </w:r>
          </w:p>
        </w:tc>
      </w:tr>
      <w:tr>
        <w:tc>
          <w:tcPr>
            <w:tcW w:type="dxa" w:w="1728"/>
          </w:tcPr>
          <w:p>
            <w:r>
              <w:rPr>
                <w:rFonts w:ascii="Calibri" w:hAnsi="Calibri"/>
                <w:sz w:val="22"/>
              </w:rPr>
              <w:t>Q4 2024</w:t>
            </w:r>
          </w:p>
        </w:tc>
        <w:tc>
          <w:tcPr>
            <w:tcW w:type="dxa" w:w="1728"/>
          </w:tcPr>
          <w:p>
            <w:r>
              <w:rPr>
                <w:rFonts w:ascii="Calibri" w:hAnsi="Calibri"/>
                <w:sz w:val="22"/>
              </w:rPr>
              <w:t>$1.30</w:t>
            </w:r>
          </w:p>
        </w:tc>
        <w:tc>
          <w:tcPr>
            <w:tcW w:type="dxa" w:w="1728"/>
          </w:tcPr>
          <w:p>
            <w:r>
              <w:rPr>
                <w:rFonts w:ascii="Calibri" w:hAnsi="Calibri"/>
                <w:sz w:val="22"/>
              </w:rPr>
              <w:t>$1.14</w:t>
            </w:r>
          </w:p>
        </w:tc>
        <w:tc>
          <w:tcPr>
            <w:tcW w:type="dxa" w:w="1728"/>
          </w:tcPr>
          <w:p>
            <w:r>
              <w:rPr>
                <w:rFonts w:ascii="Calibri" w:hAnsi="Calibri"/>
                <w:sz w:val="22"/>
              </w:rPr>
              <w:t>+14.0%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$1.80</w:t>
            </w:r>
          </w:p>
        </w:tc>
        <w:tc>
          <w:tcPr>
            <w:tcW w:type="dxa" w:w="1728"/>
          </w:tcPr>
          <w:p>
            <w:r>
              <w:rPr>
                <w:rFonts w:ascii="Calibri" w:hAnsi="Calibri"/>
                <w:sz w:val="22"/>
              </w:rPr>
              <w:t>$1.69</w:t>
            </w:r>
          </w:p>
        </w:tc>
        <w:tc>
          <w:tcPr>
            <w:tcW w:type="dxa" w:w="1728"/>
          </w:tcPr>
          <w:p>
            <w:r>
              <w:rPr>
                <w:rFonts w:ascii="Calibri" w:hAnsi="Calibri"/>
                <w:sz w:val="22"/>
              </w:rPr>
              <w:t>+6.5%</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$2.05 (prior year)</w:t>
            </w:r>
          </w:p>
        </w:tc>
        <w:tc>
          <w:tcPr>
            <w:tcW w:type="dxa" w:w="1728"/>
          </w:tcPr>
          <w:p>
            <w:r>
              <w:rPr>
                <w:rFonts w:ascii="Calibri" w:hAnsi="Calibri"/>
                <w:sz w:val="22"/>
              </w:rPr>
              <w:t>$1.86</w:t>
            </w:r>
          </w:p>
        </w:tc>
        <w:tc>
          <w:tcPr>
            <w:tcW w:type="dxa" w:w="1728"/>
          </w:tcPr>
          <w:p>
            <w:r>
              <w:rPr>
                <w:rFonts w:ascii="Calibri" w:hAnsi="Calibri"/>
                <w:sz w:val="22"/>
              </w:rPr>
              <w:t>+10.2%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TAP has beaten EPS consensus in 5 of the last 7 reported quarters, often aided by favorable phasing of MG&amp;A and cost savings; however, the Q1 2025 large miss and Q3 2025 near-miss reflect the volatility of the cost structure. The Q1 2026 beat (+72%) was explicitly flagged by management as phasing-driven and not a run-rate signal, suggesting the Q2 bar — while low — may be more accurately set.</w:t>
      </w:r>
    </w:p>
    <w:p>
      <w:r>
        <w:rPr>
          <w:rFonts w:ascii="Calibri" w:hAnsi="Calibri"/>
          <w:i/>
          <w:color w:val="525866"/>
          <w:sz w:val="22"/>
        </w:rPr>
        <w:t xml:space="preserve">Source: Visible Alpha Consensus and Actuals Data. </w:t>
      </w:r>
      <w:r>
        <w:rPr>
          <w:rFonts w:ascii="Calibri" w:hAnsi="Calibri"/>
          <w:i/>
          <w:color w:val="525866"/>
          <w:sz w:val="22"/>
        </w:rPr>
        <w:t>https://insights.visiblealpha.com/mex/TAP_US/NMV/IS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guidance was reaffirmed at Q1 earnings (April 30) with no post-earnings revisions; tone is cautious-but-stable, with management explicitly flagging Q2 as the trough quarter for both shipments and cost headwinds, and expressing confidence in H2 recovery driven by shipment normalization and cost savings.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Net Sales (CC)</w:t>
            </w:r>
          </w:p>
        </w:tc>
        <w:tc>
          <w:tcPr>
            <w:tcW w:type="dxa" w:w="1728"/>
          </w:tcPr>
          <w:p>
            <w:r>
              <w:rPr>
                <w:rFonts w:ascii="Calibri" w:hAnsi="Calibri"/>
                <w:sz w:val="22"/>
              </w:rPr>
              <w:t>Flat ±1% vs. 2025</w:t>
            </w:r>
          </w:p>
        </w:tc>
        <w:tc>
          <w:tcPr>
            <w:tcW w:type="dxa" w:w="1728"/>
          </w:tcPr>
          <w:p>
            <w:r>
              <w:rPr>
                <w:rFonts w:ascii="Calibri" w:hAnsi="Calibri"/>
                <w:sz w:val="22"/>
              </w:rPr>
              <w:t>—</w:t>
            </w:r>
          </w:p>
        </w:tc>
        <w:tc>
          <w:tcPr>
            <w:tcW w:type="dxa" w:w="1728"/>
          </w:tcPr>
          <w:p>
            <w:r>
              <w:rPr>
                <w:rFonts w:ascii="Calibri" w:hAnsi="Calibri"/>
                <w:sz w:val="22"/>
              </w:rPr>
              <w:t>$11.11B (FY)</w:t>
            </w:r>
          </w:p>
        </w:tc>
        <w:tc>
          <w:tcPr>
            <w:tcW w:type="dxa" w:w="1728"/>
          </w:tcPr>
          <w:p>
            <w:r>
              <w:rPr>
                <w:rFonts w:ascii="Calibri" w:hAnsi="Calibri"/>
                <w:sz w:val="22"/>
              </w:rPr>
              <w:t>Unchanged; no post-earnings update</w:t>
            </w:r>
          </w:p>
        </w:tc>
      </w:tr>
      <w:tr>
        <w:tc>
          <w:tcPr>
            <w:tcW w:type="dxa" w:w="1728"/>
          </w:tcPr>
          <w:p>
            <w:r>
              <w:rPr>
                <w:rFonts w:ascii="Calibri" w:hAnsi="Calibri"/>
                <w:sz w:val="22"/>
              </w:rPr>
              <w:t>Underlying Pretax Income (CC)</w:t>
            </w:r>
          </w:p>
        </w:tc>
        <w:tc>
          <w:tcPr>
            <w:tcW w:type="dxa" w:w="1728"/>
          </w:tcPr>
          <w:p>
            <w:r>
              <w:rPr>
                <w:rFonts w:ascii="Calibri" w:hAnsi="Calibri"/>
                <w:sz w:val="22"/>
              </w:rPr>
              <w:t>Decline 15–18% vs. 2025</w:t>
            </w:r>
          </w:p>
        </w:tc>
        <w:tc>
          <w:tcPr>
            <w:tcW w:type="dxa" w:w="1728"/>
          </w:tcPr>
          <w:p>
            <w:r>
              <w:rPr>
                <w:rFonts w:ascii="Calibri" w:hAnsi="Calibri"/>
                <w:sz w:val="22"/>
              </w:rPr>
              <w:t>—</w:t>
            </w:r>
          </w:p>
        </w:tc>
        <w:tc>
          <w:tcPr>
            <w:tcW w:type="dxa" w:w="1728"/>
          </w:tcPr>
          <w:p>
            <w:r>
              <w:rPr>
                <w:rFonts w:ascii="Calibri" w:hAnsi="Calibri"/>
                <w:sz w:val="22"/>
              </w:rPr>
              <w:t>Implied by EPS guidance</w:t>
            </w:r>
          </w:p>
        </w:tc>
        <w:tc>
          <w:tcPr>
            <w:tcW w:type="dxa" w:w="1728"/>
          </w:tcPr>
          <w:p>
            <w:r>
              <w:rPr>
                <w:rFonts w:ascii="Calibri" w:hAnsi="Calibri"/>
                <w:sz w:val="22"/>
              </w:rPr>
              <w:t>Unchanged; no post-earnings update</w:t>
            </w:r>
          </w:p>
        </w:tc>
      </w:tr>
      <w:tr>
        <w:tc>
          <w:tcPr>
            <w:tcW w:type="dxa" w:w="1728"/>
          </w:tcPr>
          <w:p>
            <w:r>
              <w:rPr>
                <w:rFonts w:ascii="Calibri" w:hAnsi="Calibri"/>
                <w:sz w:val="22"/>
              </w:rPr>
              <w:t>Underlying EPS</w:t>
            </w:r>
          </w:p>
        </w:tc>
        <w:tc>
          <w:tcPr>
            <w:tcW w:type="dxa" w:w="1728"/>
          </w:tcPr>
          <w:p>
            <w:r>
              <w:rPr>
                <w:rFonts w:ascii="Calibri" w:hAnsi="Calibri"/>
                <w:sz w:val="22"/>
              </w:rPr>
              <w:t>Decline 11–15% vs. 2025</w:t>
            </w:r>
          </w:p>
        </w:tc>
        <w:tc>
          <w:tcPr>
            <w:tcW w:type="dxa" w:w="1728"/>
          </w:tcPr>
          <w:p>
            <w:r>
              <w:rPr>
                <w:rFonts w:ascii="Calibri" w:hAnsi="Calibri"/>
                <w:sz w:val="22"/>
              </w:rPr>
              <w:t>—</w:t>
            </w:r>
          </w:p>
        </w:tc>
        <w:tc>
          <w:tcPr>
            <w:tcW w:type="dxa" w:w="1728"/>
          </w:tcPr>
          <w:p>
            <w:r>
              <w:rPr>
                <w:rFonts w:ascii="Calibri" w:hAnsi="Calibri"/>
                <w:sz w:val="22"/>
              </w:rPr>
              <w:t>$4.72 (FY)</w:t>
            </w:r>
          </w:p>
        </w:tc>
        <w:tc>
          <w:tcPr>
            <w:tcW w:type="dxa" w:w="1728"/>
          </w:tcPr>
          <w:p>
            <w:r>
              <w:rPr>
                <w:rFonts w:ascii="Calibri" w:hAnsi="Calibri"/>
                <w:sz w:val="22"/>
              </w:rPr>
              <w:t>Unchanged; consensus at low end of range</w:t>
            </w:r>
          </w:p>
        </w:tc>
      </w:tr>
      <w:tr>
        <w:tc>
          <w:tcPr>
            <w:tcW w:type="dxa" w:w="1728"/>
          </w:tcPr>
          <w:p>
            <w:r>
              <w:rPr>
                <w:rFonts w:ascii="Calibri" w:hAnsi="Calibri"/>
                <w:sz w:val="22"/>
              </w:rPr>
              <w:t>Underlying Free Cash Flow</w:t>
            </w:r>
          </w:p>
        </w:tc>
        <w:tc>
          <w:tcPr>
            <w:tcW w:type="dxa" w:w="1728"/>
          </w:tcPr>
          <w:p>
            <w:r>
              <w:rPr>
                <w:rFonts w:ascii="Calibri" w:hAnsi="Calibri"/>
                <w:sz w:val="22"/>
              </w:rPr>
              <w:t>$1.1B ±10%</w:t>
            </w:r>
          </w:p>
        </w:tc>
        <w:tc>
          <w:tcPr>
            <w:tcW w:type="dxa" w:w="1728"/>
          </w:tcPr>
          <w:p>
            <w:r>
              <w:rPr>
                <w:rFonts w:ascii="Calibri" w:hAnsi="Calibri"/>
                <w:sz w:val="22"/>
              </w:rPr>
              <w:t>—</w:t>
            </w:r>
          </w:p>
        </w:tc>
        <w:tc>
          <w:tcPr>
            <w:tcW w:type="dxa" w:w="1728"/>
          </w:tcPr>
          <w:p>
            <w:r>
              <w:rPr>
                <w:rFonts w:ascii="Calibri" w:hAnsi="Calibri"/>
                <w:sz w:val="22"/>
              </w:rPr>
              <w:t>$1.03B (FY)</w:t>
            </w:r>
          </w:p>
        </w:tc>
        <w:tc>
          <w:tcPr>
            <w:tcW w:type="dxa" w:w="1728"/>
          </w:tcPr>
          <w:p>
            <w:r>
              <w:rPr>
                <w:rFonts w:ascii="Calibri" w:hAnsi="Calibri"/>
                <w:sz w:val="22"/>
              </w:rPr>
              <w:t>Unchanged; consensus slightly below midpoint</w:t>
            </w:r>
          </w:p>
        </w:tc>
      </w:tr>
      <w:tr>
        <w:tc>
          <w:tcPr>
            <w:tcW w:type="dxa" w:w="1728"/>
          </w:tcPr>
          <w:p>
            <w:r>
              <w:rPr>
                <w:rFonts w:ascii="Calibri" w:hAnsi="Calibri"/>
                <w:sz w:val="22"/>
              </w:rPr>
              <w:t>CapEx</w:t>
            </w:r>
          </w:p>
        </w:tc>
        <w:tc>
          <w:tcPr>
            <w:tcW w:type="dxa" w:w="1728"/>
          </w:tcPr>
          <w:p>
            <w:r>
              <w:rPr>
                <w:rFonts w:ascii="Calibri" w:hAnsi="Calibri"/>
                <w:sz w:val="22"/>
              </w:rPr>
              <w:t>$650M ±5%</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w:t>
            </w:r>
          </w:p>
        </w:tc>
      </w:tr>
      <w:tr>
        <w:tc>
          <w:tcPr>
            <w:tcW w:type="dxa" w:w="1728"/>
          </w:tcPr>
          <w:p>
            <w:r>
              <w:rPr>
                <w:rFonts w:ascii="Calibri" w:hAnsi="Calibri"/>
                <w:sz w:val="22"/>
              </w:rPr>
              <w:t>Q2 U.S. Financial Volumes</w:t>
            </w:r>
          </w:p>
        </w:tc>
        <w:tc>
          <w:tcPr>
            <w:tcW w:type="dxa" w:w="1728"/>
          </w:tcPr>
          <w:p>
            <w:r>
              <w:rPr>
                <w:rFonts w:ascii="Calibri" w:hAnsi="Calibri"/>
                <w:sz w:val="22"/>
              </w:rPr>
              <w:t>Down 6–9% vs. 2025 (trailing brand vols)</w:t>
            </w:r>
          </w:p>
        </w:tc>
        <w:tc>
          <w:tcPr>
            <w:tcW w:type="dxa" w:w="1728"/>
          </w:tcPr>
          <w:p>
            <w:r>
              <w:rPr>
                <w:rFonts w:ascii="Calibri" w:hAnsi="Calibri"/>
                <w:sz w:val="22"/>
              </w:rPr>
              <w:t>—</w:t>
            </w:r>
          </w:p>
        </w:tc>
        <w:tc>
          <w:tcPr>
            <w:tcW w:type="dxa" w:w="1728"/>
          </w:tcPr>
          <w:p>
            <w:r>
              <w:rPr>
                <w:rFonts w:ascii="Calibri" w:hAnsi="Calibri"/>
                <w:sz w:val="22"/>
              </w:rPr>
              <w:t>Implied in Americas vol consensus</w:t>
            </w:r>
          </w:p>
        </w:tc>
        <w:tc>
          <w:tcPr>
            <w:tcW w:type="dxa" w:w="1728"/>
          </w:tcPr>
          <w:p>
            <w:r>
              <w:rPr>
                <w:rFonts w:ascii="Calibri" w:hAnsi="Calibri"/>
                <w:sz w:val="22"/>
              </w:rPr>
              <w:t>Specific Q2 guidance; H2 shipments expected to outpace brand vols</w:t>
            </w:r>
          </w:p>
        </w:tc>
      </w:tr>
      <w:tr>
        <w:tc>
          <w:tcPr>
            <w:tcW w:type="dxa" w:w="1728"/>
          </w:tcPr>
          <w:p>
            <w:r>
              <w:rPr>
                <w:rFonts w:ascii="Calibri" w:hAnsi="Calibri"/>
                <w:sz w:val="22"/>
              </w:rPr>
              <w:t>Midwest Premium (COGS)</w:t>
            </w:r>
          </w:p>
        </w:tc>
        <w:tc>
          <w:tcPr>
            <w:tcW w:type="dxa" w:w="1728"/>
          </w:tcPr>
          <w:p>
            <w:r>
              <w:rPr>
                <w:rFonts w:ascii="Calibri" w:hAnsi="Calibri"/>
                <w:sz w:val="22"/>
              </w:rPr>
              <w:t>Inflationary all year; largest increase in Q2</w:t>
            </w:r>
          </w:p>
        </w:tc>
        <w:tc>
          <w:tcPr>
            <w:tcW w:type="dxa" w:w="1728"/>
          </w:tcPr>
          <w:p>
            <w:r>
              <w:rPr>
                <w:rFonts w:ascii="Calibri" w:hAnsi="Calibri"/>
                <w:sz w:val="22"/>
              </w:rPr>
              <w:t>—</w:t>
            </w:r>
          </w:p>
        </w:tc>
        <w:tc>
          <w:tcPr>
            <w:tcW w:type="dxa" w:w="1728"/>
          </w:tcPr>
          <w:p>
            <w:r>
              <w:rPr>
                <w:rFonts w:ascii="Calibri" w:hAnsi="Calibri"/>
                <w:sz w:val="22"/>
              </w:rPr>
              <w:t>Embedded in COGS estimates</w:t>
            </w:r>
          </w:p>
        </w:tc>
        <w:tc>
          <w:tcPr>
            <w:tcW w:type="dxa" w:w="1728"/>
          </w:tcPr>
          <w:p>
            <w:r>
              <w:rPr>
                <w:rFonts w:ascii="Calibri" w:hAnsi="Calibri"/>
                <w:sz w:val="22"/>
              </w:rPr>
              <w:t>~$125M+ FY headwind; Q2 peak; meaningful hedge coverage in place</w:t>
            </w:r>
          </w:p>
        </w:tc>
      </w:tr>
      <w:tr>
        <w:tc>
          <w:tcPr>
            <w:tcW w:type="dxa" w:w="1728"/>
          </w:tcPr>
          <w:p>
            <w:r>
              <w:rPr>
                <w:rFonts w:ascii="Calibri" w:hAnsi="Calibri"/>
                <w:sz w:val="22"/>
              </w:rPr>
              <w:t>MG&amp;A</w:t>
            </w:r>
          </w:p>
        </w:tc>
        <w:tc>
          <w:tcPr>
            <w:tcW w:type="dxa" w:w="1728"/>
          </w:tcPr>
          <w:p>
            <w:r>
              <w:rPr>
                <w:rFonts w:ascii="Calibri" w:hAnsi="Calibri"/>
                <w:sz w:val="22"/>
              </w:rPr>
              <w:t>Increase vs. 2025 in Q2–Q4; largest increase in Q2</w:t>
            </w:r>
          </w:p>
        </w:tc>
        <w:tc>
          <w:tcPr>
            <w:tcW w:type="dxa" w:w="1728"/>
          </w:tcPr>
          <w:p>
            <w:r>
              <w:rPr>
                <w:rFonts w:ascii="Calibri" w:hAnsi="Calibri"/>
                <w:sz w:val="22"/>
              </w:rPr>
              <w:t>—</w:t>
            </w:r>
          </w:p>
        </w:tc>
        <w:tc>
          <w:tcPr>
            <w:tcW w:type="dxa" w:w="1728"/>
          </w:tcPr>
          <w:p>
            <w:r>
              <w:rPr>
                <w:rFonts w:ascii="Calibri" w:hAnsi="Calibri"/>
                <w:sz w:val="22"/>
              </w:rPr>
              <w:t>Embedded in EPS estimates</w:t>
            </w:r>
          </w:p>
        </w:tc>
        <w:tc>
          <w:tcPr>
            <w:tcW w:type="dxa" w:w="1728"/>
          </w:tcPr>
          <w:p>
            <w:r>
              <w:rPr>
                <w:rFonts w:ascii="Calibri" w:hAnsi="Calibri"/>
                <w:sz w:val="22"/>
              </w:rPr>
              <w:t>Driven by incentive comp + World Cup/Americas 250th media spend</w:t>
            </w:r>
          </w:p>
        </w:tc>
      </w:tr>
    </w:tbl>
    <w:p>
      <w:r>
        <w:rPr>
          <w:rFonts w:ascii="Calibri" w:hAnsi="Calibri"/>
          <w:i/>
          <w:color w:val="525866"/>
          <w:sz w:val="22"/>
        </w:rPr>
        <w:t xml:space="preserve">Source: Molson Coors Q1 2026 Earnings Release and Earnings Call Transcript (April 30, 2026). Visible Alpha Consensus: </w:t>
      </w:r>
      <w:r>
        <w:rPr>
          <w:rFonts w:ascii="Calibri" w:hAnsi="Calibri"/>
          <w:i/>
          <w:color w:val="525866"/>
          <w:sz w:val="22"/>
        </w:rPr>
        <w:t>https://insights.visiblealpha.com/mex/TAP_US/NMV/IS</w:t>
      </w:r>
      <w:r>
        <w:rPr>
          <w:rFonts w:ascii="Calibri" w:hAnsi="Calibri"/>
          <w:i/>
          <w:color w:val="525866"/>
          <w:sz w:val="22"/>
        </w:rPr>
        <w:t xml:space="preserve"> and </w:t>
      </w:r>
      <w:r>
        <w:rPr>
          <w:rFonts w:ascii="Calibri" w:hAnsi="Calibri"/>
          <w:i/>
          <w:color w:val="525866"/>
          <w:sz w:val="22"/>
        </w:rPr>
        <w:t>https://insights.visiblealpha.com/mex/TAP_US/NMV/CF</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revised sharply lower since Q1 earnings — Q2 EPS consensus fell from $1.54 (post-Q1 baseline) to $1.52 today, a modest -1.5% drift, while FY EPS slipped from $4.75 to $4.72 (-0.6%) — suggesting the Street has largely absorbed the guided headwinds with minimal incremental revision; the gap between consensus and guidance midpoints is narrow, leaving little cushion if execution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7,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Q2 2026</w:t>
            </w:r>
          </w:p>
        </w:tc>
        <w:tc>
          <w:tcPr>
            <w:tcW w:type="dxa" w:w="1080"/>
          </w:tcPr>
          <w:p>
            <w:r>
              <w:rPr>
                <w:rFonts w:ascii="Calibri" w:hAnsi="Calibri"/>
                <w:sz w:val="22"/>
              </w:rPr>
              <w:t>$3.103B</w:t>
            </w:r>
          </w:p>
        </w:tc>
        <w:tc>
          <w:tcPr>
            <w:tcW w:type="dxa" w:w="1080"/>
          </w:tcPr>
          <w:p>
            <w:r>
              <w:rPr>
                <w:rFonts w:ascii="Calibri" w:hAnsi="Calibri"/>
                <w:sz w:val="22"/>
              </w:rPr>
              <w:t>$3.093B</w:t>
            </w:r>
          </w:p>
        </w:tc>
        <w:tc>
          <w:tcPr>
            <w:tcW w:type="dxa" w:w="1080"/>
          </w:tcPr>
          <w:p>
            <w:r>
              <w:rPr>
                <w:rFonts w:ascii="Calibri" w:hAnsi="Calibri"/>
                <w:sz w:val="22"/>
              </w:rPr>
              <w:t>-0.3%</w:t>
            </w:r>
          </w:p>
        </w:tc>
        <w:tc>
          <w:tcPr>
            <w:tcW w:type="dxa" w:w="1080"/>
          </w:tcPr>
          <w:p>
            <w:r>
              <w:rPr>
                <w:rFonts w:ascii="Calibri" w:hAnsi="Calibri"/>
                <w:sz w:val="22"/>
              </w:rPr>
              <w:t>Flat ±1% CC (FY); Q2 vols -6% to -9%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Broadly in line</w:t>
            </w:r>
          </w:p>
        </w:tc>
      </w:tr>
      <w:tr>
        <w:tc>
          <w:tcPr>
            <w:tcW w:type="dxa" w:w="1080"/>
          </w:tcPr>
          <w:p>
            <w:r>
              <w:rPr>
                <w:rFonts w:ascii="Calibri" w:hAnsi="Calibri"/>
                <w:sz w:val="22"/>
              </w:rPr>
              <w:t>Net Sales — FY 2026</w:t>
            </w:r>
          </w:p>
        </w:tc>
        <w:tc>
          <w:tcPr>
            <w:tcW w:type="dxa" w:w="1080"/>
          </w:tcPr>
          <w:p>
            <w:r>
              <w:rPr>
                <w:rFonts w:ascii="Calibri" w:hAnsi="Calibri"/>
                <w:sz w:val="22"/>
              </w:rPr>
              <w:t>$11.133B</w:t>
            </w:r>
          </w:p>
        </w:tc>
        <w:tc>
          <w:tcPr>
            <w:tcW w:type="dxa" w:w="1080"/>
          </w:tcPr>
          <w:p>
            <w:r>
              <w:rPr>
                <w:rFonts w:ascii="Calibri" w:hAnsi="Calibri"/>
                <w:sz w:val="22"/>
              </w:rPr>
              <w:t>$11.106B</w:t>
            </w:r>
          </w:p>
        </w:tc>
        <w:tc>
          <w:tcPr>
            <w:tcW w:type="dxa" w:w="1080"/>
          </w:tcPr>
          <w:p>
            <w:r>
              <w:rPr>
                <w:rFonts w:ascii="Calibri" w:hAnsi="Calibri"/>
                <w:sz w:val="22"/>
              </w:rPr>
              <w:t>-0.2%</w:t>
            </w:r>
          </w:p>
        </w:tc>
        <w:tc>
          <w:tcPr>
            <w:tcW w:type="dxa" w:w="1080"/>
          </w:tcPr>
          <w:p>
            <w:r>
              <w:rPr>
                <w:rFonts w:ascii="Calibri" w:hAnsi="Calibri"/>
                <w:sz w:val="22"/>
              </w:rPr>
              <w:t>Flat ±1% CC vs. 2025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 of range</w:t>
            </w:r>
          </w:p>
        </w:tc>
      </w:tr>
      <w:tr>
        <w:tc>
          <w:tcPr>
            <w:tcW w:type="dxa" w:w="1080"/>
          </w:tcPr>
          <w:p>
            <w:r>
              <w:rPr>
                <w:rFonts w:ascii="Calibri" w:hAnsi="Calibri"/>
                <w:sz w:val="22"/>
              </w:rPr>
              <w:t>Underlying EPS — Q2 2026</w:t>
            </w:r>
          </w:p>
        </w:tc>
        <w:tc>
          <w:tcPr>
            <w:tcW w:type="dxa" w:w="1080"/>
          </w:tcPr>
          <w:p>
            <w:r>
              <w:rPr>
                <w:rFonts w:ascii="Calibri" w:hAnsi="Calibri"/>
                <w:sz w:val="22"/>
              </w:rPr>
              <w:t>$1.537</w:t>
            </w:r>
          </w:p>
        </w:tc>
        <w:tc>
          <w:tcPr>
            <w:tcW w:type="dxa" w:w="1080"/>
          </w:tcPr>
          <w:p>
            <w:r>
              <w:rPr>
                <w:rFonts w:ascii="Calibri" w:hAnsi="Calibri"/>
                <w:sz w:val="22"/>
              </w:rPr>
              <w:t>$1.525</w:t>
            </w:r>
          </w:p>
        </w:tc>
        <w:tc>
          <w:tcPr>
            <w:tcW w:type="dxa" w:w="1080"/>
          </w:tcPr>
          <w:p>
            <w:r>
              <w:rPr>
                <w:rFonts w:ascii="Calibri" w:hAnsi="Calibri"/>
                <w:b/>
                <w:color w:val="E5484D"/>
                <w:sz w:val="22"/>
              </w:rPr>
              <w:t>-0.8%</w:t>
            </w:r>
          </w:p>
        </w:tc>
        <w:tc>
          <w:tcPr>
            <w:tcW w:type="dxa" w:w="1080"/>
          </w:tcPr>
          <w:p>
            <w:r>
              <w:rPr>
                <w:rFonts w:ascii="Calibri" w:hAnsi="Calibri"/>
                <w:sz w:val="22"/>
              </w:rPr>
              <w:t>FY decline 11–15% vs. 2025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FY range</w:t>
            </w:r>
          </w:p>
        </w:tc>
      </w:tr>
      <w:tr>
        <w:tc>
          <w:tcPr>
            <w:tcW w:type="dxa" w:w="1080"/>
          </w:tcPr>
          <w:p>
            <w:r>
              <w:rPr>
                <w:rFonts w:ascii="Calibri" w:hAnsi="Calibri"/>
                <w:sz w:val="22"/>
              </w:rPr>
              <w:t>Underlying EPS — FY 2026</w:t>
            </w:r>
          </w:p>
        </w:tc>
        <w:tc>
          <w:tcPr>
            <w:tcW w:type="dxa" w:w="1080"/>
          </w:tcPr>
          <w:p>
            <w:r>
              <w:rPr>
                <w:rFonts w:ascii="Calibri" w:hAnsi="Calibri"/>
                <w:sz w:val="22"/>
              </w:rPr>
              <w:t>$4.752</w:t>
            </w:r>
          </w:p>
        </w:tc>
        <w:tc>
          <w:tcPr>
            <w:tcW w:type="dxa" w:w="1080"/>
          </w:tcPr>
          <w:p>
            <w:r>
              <w:rPr>
                <w:rFonts w:ascii="Calibri" w:hAnsi="Calibri"/>
                <w:sz w:val="22"/>
              </w:rPr>
              <w:t>$4.722</w:t>
            </w:r>
          </w:p>
        </w:tc>
        <w:tc>
          <w:tcPr>
            <w:tcW w:type="dxa" w:w="1080"/>
          </w:tcPr>
          <w:p>
            <w:r>
              <w:rPr>
                <w:rFonts w:ascii="Calibri" w:hAnsi="Calibri"/>
                <w:b/>
                <w:color w:val="E5484D"/>
                <w:sz w:val="22"/>
              </w:rPr>
              <w:t>-0.6%</w:t>
            </w:r>
          </w:p>
        </w:tc>
        <w:tc>
          <w:tcPr>
            <w:tcW w:type="dxa" w:w="1080"/>
          </w:tcPr>
          <w:p>
            <w:r>
              <w:rPr>
                <w:rFonts w:ascii="Calibri" w:hAnsi="Calibri"/>
                <w:sz w:val="22"/>
              </w:rPr>
              <w:t>Decline 11–15% vs. 2025 (~$5.31 base)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guidance range</w:t>
            </w:r>
          </w:p>
        </w:tc>
      </w:tr>
      <w:tr>
        <w:tc>
          <w:tcPr>
            <w:tcW w:type="dxa" w:w="1080"/>
          </w:tcPr>
          <w:p>
            <w:r>
              <w:rPr>
                <w:rFonts w:ascii="Calibri" w:hAnsi="Calibri"/>
                <w:sz w:val="22"/>
              </w:rPr>
              <w:t>Americas Brand Volume — Q2 2026 (Mhl)</w:t>
            </w:r>
          </w:p>
        </w:tc>
        <w:tc>
          <w:tcPr>
            <w:tcW w:type="dxa" w:w="1080"/>
          </w:tcPr>
          <w:p>
            <w:r>
              <w:rPr>
                <w:rFonts w:ascii="Calibri" w:hAnsi="Calibri"/>
                <w:sz w:val="22"/>
              </w:rPr>
              <w:t>14.226 Mhl</w:t>
            </w:r>
          </w:p>
        </w:tc>
        <w:tc>
          <w:tcPr>
            <w:tcW w:type="dxa" w:w="1080"/>
          </w:tcPr>
          <w:p>
            <w:r>
              <w:rPr>
                <w:rFonts w:ascii="Calibri" w:hAnsi="Calibri"/>
                <w:sz w:val="22"/>
              </w:rPr>
              <w:t>14.168 Mhl</w:t>
            </w:r>
          </w:p>
        </w:tc>
        <w:tc>
          <w:tcPr>
            <w:tcW w:type="dxa" w:w="1080"/>
          </w:tcPr>
          <w:p>
            <w:r>
              <w:rPr>
                <w:rFonts w:ascii="Calibri" w:hAnsi="Calibri"/>
                <w:sz w:val="22"/>
              </w:rPr>
              <w:t>-0.4%</w:t>
            </w:r>
          </w:p>
        </w:tc>
        <w:tc>
          <w:tcPr>
            <w:tcW w:type="dxa" w:w="1080"/>
          </w:tcPr>
          <w:p>
            <w:r>
              <w:rPr>
                <w:rFonts w:ascii="Calibri" w:hAnsi="Calibri"/>
                <w:sz w:val="22"/>
              </w:rPr>
              <w:t>U.S. financial vols -6% to -9% (shipments trail brand vols)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Consistent with guidance</w:t>
            </w:r>
          </w:p>
        </w:tc>
      </w:tr>
      <w:tr>
        <w:tc>
          <w:tcPr>
            <w:tcW w:type="dxa" w:w="1080"/>
          </w:tcPr>
          <w:p>
            <w:r>
              <w:rPr>
                <w:rFonts w:ascii="Calibri" w:hAnsi="Calibri"/>
                <w:sz w:val="22"/>
              </w:rPr>
              <w:t>Free Cash Flow — FY 2026 ($M)</w:t>
            </w:r>
          </w:p>
        </w:tc>
        <w:tc>
          <w:tcPr>
            <w:tcW w:type="dxa" w:w="1080"/>
          </w:tcPr>
          <w:p>
            <w:r>
              <w:rPr>
                <w:rFonts w:ascii="Calibri" w:hAnsi="Calibri"/>
                <w:sz w:val="22"/>
              </w:rPr>
              <w:t>$1,029M</w:t>
            </w:r>
          </w:p>
        </w:tc>
        <w:tc>
          <w:tcPr>
            <w:tcW w:type="dxa" w:w="1080"/>
          </w:tcPr>
          <w:p>
            <w:r>
              <w:rPr>
                <w:rFonts w:ascii="Calibri" w:hAnsi="Calibri"/>
                <w:sz w:val="22"/>
              </w:rPr>
              <w:t>$1,027M</w:t>
            </w:r>
          </w:p>
        </w:tc>
        <w:tc>
          <w:tcPr>
            <w:tcW w:type="dxa" w:w="1080"/>
          </w:tcPr>
          <w:p>
            <w:r>
              <w:rPr>
                <w:rFonts w:ascii="Calibri" w:hAnsi="Calibri"/>
                <w:sz w:val="22"/>
              </w:rPr>
              <w:t>-0.2%</w:t>
            </w:r>
          </w:p>
        </w:tc>
        <w:tc>
          <w:tcPr>
            <w:tcW w:type="dxa" w:w="1080"/>
          </w:tcPr>
          <w:p>
            <w:r>
              <w:rPr>
                <w:rFonts w:ascii="Calibri" w:hAnsi="Calibri"/>
                <w:sz w:val="22"/>
              </w:rPr>
              <w:t>$1.1B ±10%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~7% below guidance midpoint</w:t>
            </w:r>
          </w:p>
        </w:tc>
      </w:tr>
    </w:tbl>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TAP has significantly underperformed both XLP and the S&amp;P 500 since Q1 earnings (April 30), declining ~2% vs. XLP +1.2% and SPY +7.1% through August 5 — driven almost entirely by multiple compression and earnings estimate cuts rather than any fundamental improvement; at 8.7x NTM P/E, the stock is pricing in continued structural pressure with little credit for the cyclical recovery thesis.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TAP vs. XLP (Consumer Staples ETF) vs. S&amp;P 500 — Indexed to 100 at Q1 2026 Earnings (April 30, 2026). Source: Yahoo Finance /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TAP</w:t>
            </w:r>
          </w:p>
        </w:tc>
        <w:tc>
          <w:tcPr>
            <w:tcW w:type="dxa" w:w="2160"/>
            <w:shd w:val="clear" w:color="auto" w:fill="3B4259"/>
          </w:tcPr>
          <w:p>
            <w:r>
              <w:rPr>
                <w:rFonts w:ascii="Calibri" w:hAnsi="Calibri"/>
                <w:b/>
                <w:color w:val="FFFFFF"/>
                <w:sz w:val="22"/>
              </w:rPr>
              <w:t>XLP (Consumer Staples ETF)</w:t>
            </w:r>
          </w:p>
        </w:tc>
        <w:tc>
          <w:tcPr>
            <w:tcW w:type="dxa" w:w="2160"/>
            <w:shd w:val="clear" w:color="auto" w:fill="3B4259"/>
          </w:tcPr>
          <w:p>
            <w:r>
              <w:rPr>
                <w:rFonts w:ascii="Calibri" w:hAnsi="Calibri"/>
                <w:b/>
                <w:color w:val="FFFFFF"/>
                <w:sz w:val="22"/>
              </w:rPr>
              <w:t>S&amp;P 500 (SPY)</w:t>
            </w:r>
          </w:p>
        </w:tc>
      </w:tr>
      <w:tr>
        <w:tc>
          <w:tcPr>
            <w:tcW w:type="dxa" w:w="2160"/>
          </w:tcPr>
          <w:p>
            <w:r>
              <w:rPr>
                <w:rFonts w:ascii="Calibri" w:hAnsi="Calibri"/>
                <w:sz w:val="22"/>
              </w:rPr>
              <w:t>Price at Q1 Earnings (Apr 30)</w:t>
            </w:r>
          </w:p>
        </w:tc>
        <w:tc>
          <w:tcPr>
            <w:tcW w:type="dxa" w:w="2160"/>
          </w:tcPr>
          <w:p>
            <w:r>
              <w:rPr>
                <w:rFonts w:ascii="Calibri" w:hAnsi="Calibri"/>
                <w:sz w:val="22"/>
              </w:rPr>
              <w:t>$42.74</w:t>
            </w:r>
          </w:p>
        </w:tc>
        <w:tc>
          <w:tcPr>
            <w:tcW w:type="dxa" w:w="2160"/>
          </w:tcPr>
          <w:p>
            <w:r>
              <w:rPr>
                <w:rFonts w:ascii="Calibri" w:hAnsi="Calibri"/>
                <w:sz w:val="22"/>
              </w:rPr>
              <w:t>$84.31</w:t>
            </w:r>
          </w:p>
        </w:tc>
        <w:tc>
          <w:tcPr>
            <w:tcW w:type="dxa" w:w="2160"/>
          </w:tcPr>
          <w:p>
            <w:r>
              <w:rPr>
                <w:rFonts w:ascii="Calibri" w:hAnsi="Calibri"/>
                <w:sz w:val="22"/>
              </w:rPr>
              <w:t>$718.66</w:t>
            </w:r>
          </w:p>
        </w:tc>
      </w:tr>
      <w:tr>
        <w:tc>
          <w:tcPr>
            <w:tcW w:type="dxa" w:w="2160"/>
          </w:tcPr>
          <w:p>
            <w:r>
              <w:rPr>
                <w:rFonts w:ascii="Calibri" w:hAnsi="Calibri"/>
                <w:sz w:val="22"/>
              </w:rPr>
              <w:t>Price Aug 5, 2026</w:t>
            </w:r>
          </w:p>
        </w:tc>
        <w:tc>
          <w:tcPr>
            <w:tcW w:type="dxa" w:w="2160"/>
          </w:tcPr>
          <w:p>
            <w:r>
              <w:rPr>
                <w:rFonts w:ascii="Calibri" w:hAnsi="Calibri"/>
                <w:sz w:val="22"/>
              </w:rPr>
              <w:t>$41.87</w:t>
            </w:r>
          </w:p>
        </w:tc>
        <w:tc>
          <w:tcPr>
            <w:tcW w:type="dxa" w:w="2160"/>
          </w:tcPr>
          <w:p>
            <w:r>
              <w:rPr>
                <w:rFonts w:ascii="Calibri" w:hAnsi="Calibri"/>
                <w:sz w:val="22"/>
              </w:rPr>
              <w:t>$85.33</w:t>
            </w:r>
          </w:p>
        </w:tc>
        <w:tc>
          <w:tcPr>
            <w:tcW w:type="dxa" w:w="2160"/>
          </w:tcPr>
          <w:p>
            <w:r>
              <w:rPr>
                <w:rFonts w:ascii="Calibri" w:hAnsi="Calibri"/>
                <w:sz w:val="22"/>
              </w:rPr>
              <w:t>$769.79</w:t>
            </w:r>
          </w:p>
        </w:tc>
      </w:tr>
      <w:tr>
        <w:tc>
          <w:tcPr>
            <w:tcW w:type="dxa" w:w="2160"/>
          </w:tcPr>
          <w:p>
            <w:r>
              <w:rPr>
                <w:rFonts w:ascii="Calibri" w:hAnsi="Calibri"/>
                <w:sz w:val="22"/>
              </w:rPr>
              <w:t>Return Since Q1 Earnings</w:t>
            </w:r>
          </w:p>
        </w:tc>
        <w:tc>
          <w:tcPr>
            <w:tcW w:type="dxa" w:w="2160"/>
          </w:tcPr>
          <w:p>
            <w:r>
              <w:rPr>
                <w:rFonts w:ascii="Calibri" w:hAnsi="Calibri"/>
                <w:b/>
                <w:color w:val="E5484D"/>
                <w:sz w:val="22"/>
              </w:rPr>
              <w:t>-2.0%</w:t>
            </w:r>
          </w:p>
        </w:tc>
        <w:tc>
          <w:tcPr>
            <w:tcW w:type="dxa" w:w="2160"/>
          </w:tcPr>
          <w:p>
            <w:r>
              <w:rPr>
                <w:rFonts w:ascii="Calibri" w:hAnsi="Calibri"/>
                <w:sz w:val="22"/>
              </w:rPr>
              <w:t>+1.2%</w:t>
            </w:r>
          </w:p>
        </w:tc>
        <w:tc>
          <w:tcPr>
            <w:tcW w:type="dxa" w:w="2160"/>
          </w:tcPr>
          <w:p>
            <w:r>
              <w:rPr>
                <w:rFonts w:ascii="Calibri" w:hAnsi="Calibri"/>
                <w:b/>
                <w:color w:val="30A46C"/>
                <w:sz w:val="22"/>
              </w:rPr>
              <w:t>+7.1%</w:t>
            </w:r>
          </w:p>
        </w:tc>
      </w:tr>
      <w:tr>
        <w:tc>
          <w:tcPr>
            <w:tcW w:type="dxa" w:w="2160"/>
          </w:tcPr>
          <w:p>
            <w:r>
              <w:rPr>
                <w:rFonts w:ascii="Calibri" w:hAnsi="Calibri"/>
                <w:sz w:val="22"/>
              </w:rPr>
              <w:t>NTM P/E</w:t>
            </w:r>
          </w:p>
        </w:tc>
        <w:tc>
          <w:tcPr>
            <w:tcW w:type="dxa" w:w="2160"/>
          </w:tcPr>
          <w:p>
            <w:r>
              <w:rPr>
                <w:rFonts w:ascii="Calibri" w:hAnsi="Calibri"/>
                <w:sz w:val="22"/>
              </w:rPr>
              <w:t>8.7x</w:t>
            </w:r>
          </w:p>
        </w:tc>
        <w:tc>
          <w:tcPr>
            <w:tcW w:type="dxa" w:w="2160"/>
          </w:tcPr>
          <w:p>
            <w:r>
              <w:rPr>
                <w:rFonts w:ascii="Calibri" w:hAnsi="Calibri"/>
                <w:sz w:val="22"/>
              </w:rPr>
              <w:t>N/A (ETF)</w:t>
            </w:r>
          </w:p>
        </w:tc>
        <w:tc>
          <w:tcPr>
            <w:tcW w:type="dxa" w:w="2160"/>
          </w:tcPr>
          <w:p>
            <w:r>
              <w:rPr>
                <w:rFonts w:ascii="Calibri" w:hAnsi="Calibri"/>
                <w:sz w:val="22"/>
              </w:rPr>
              <w:t>N/A (Index)</w:t>
            </w:r>
          </w:p>
        </w:tc>
      </w:tr>
      <w:tr>
        <w:tc>
          <w:tcPr>
            <w:tcW w:type="dxa" w:w="2160"/>
          </w:tcPr>
          <w:p>
            <w:r>
              <w:rPr>
                <w:rFonts w:ascii="Calibri" w:hAnsi="Calibri"/>
                <w:sz w:val="22"/>
              </w:rPr>
              <w:t>NTM EV/EBITDA</w:t>
            </w:r>
          </w:p>
        </w:tc>
        <w:tc>
          <w:tcPr>
            <w:tcW w:type="dxa" w:w="2160"/>
          </w:tcPr>
          <w:p>
            <w:r>
              <w:rPr>
                <w:rFonts w:ascii="Calibri" w:hAnsi="Calibri"/>
                <w:sz w:val="22"/>
              </w:rPr>
              <w:t>6.9x</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NTM P/FCF</w:t>
            </w:r>
          </w:p>
        </w:tc>
        <w:tc>
          <w:tcPr>
            <w:tcW w:type="dxa" w:w="2160"/>
          </w:tcPr>
          <w:p>
            <w:r>
              <w:rPr>
                <w:rFonts w:ascii="Calibri" w:hAnsi="Calibri"/>
                <w:sz w:val="22"/>
              </w:rPr>
              <w:t>7.5x</w:t>
            </w:r>
          </w:p>
        </w:tc>
        <w:tc>
          <w:tcPr>
            <w:tcW w:type="dxa" w:w="2160"/>
          </w:tcPr>
          <w:p>
            <w:r>
              <w:rPr>
                <w:rFonts w:ascii="Calibri" w:hAnsi="Calibri"/>
                <w:sz w:val="22"/>
              </w:rPr>
              <w:t>N/A</w:t>
            </w:r>
          </w:p>
        </w:tc>
        <w:tc>
          <w:tcPr>
            <w:tcW w:type="dxa" w:w="2160"/>
          </w:tcPr>
          <w:p>
            <w:r>
              <w:rPr>
                <w:rFonts w:ascii="Calibri" w:hAnsi="Calibri"/>
                <w:sz w:val="22"/>
              </w:rPr>
              <w:t>N/A</w:t>
            </w:r>
          </w:p>
        </w:tc>
      </w:tr>
    </w:tbl>
    <w:p>
      <w:r>
        <w:rPr>
          <w:rFonts w:ascii="Calibri" w:hAnsi="Calibri"/>
          <w:b/>
          <w:color w:val="525866"/>
          <w:sz w:val="22"/>
        </w:rPr>
        <w:t xml:space="preserve">Key Events Since Q1 Earnings: </w:t>
      </w:r>
      <w:r>
        <w:rPr>
          <w:rFonts w:ascii="Calibri" w:hAnsi="Calibri"/>
          <w:color w:val="525866"/>
          <w:sz w:val="22"/>
        </w:rPr>
        <w:t>June 24 — EMEA&amp;APAC CEO Philip Whitehead took medical leave (interim appointed). No material stock reaction. The stock's underperformance vs. XLP is driven by earnings estimate cuts and multiple compression rather than any single event; the 1-month return of +6.7% (vs. XLP +5.4%) suggests some recent stabilization as the Q2 print approaches.</w:t>
      </w:r>
    </w:p>
    <w:p>
      <w:r>
        <w:rPr>
          <w:rFonts w:ascii="Calibri" w:hAnsi="Calibri"/>
          <w:color w:val="525866"/>
          <w:sz w:val="22"/>
        </w:rPr>
        <w:t>Source: Yahoo Finance / Stock Price Data. Valuation multiples: Implied internal data (NTM consensus multiples as of August 5, 2026).</w:t>
      </w:r>
    </w:p>
    <w:p>
      <w:pPr>
        <w:pStyle w:val="Heading3"/>
      </w:pPr>
      <w:r>
        <w:rPr>
          <w:rFonts w:ascii="Calibri" w:hAnsi="Calibri"/>
          <w:b/>
          <w:color w:val="3B4259"/>
          <w:sz w:val="24"/>
        </w:rPr>
        <w:t>6.1 Constellation Brands (STZ) — Q1 FY2027 Earnings Call, July 1, 2026</w:t>
      </w:r>
    </w:p>
    <w:p>
      <w:r>
        <w:rPr>
          <w:rFonts w:ascii="Calibri" w:hAnsi="Calibri"/>
          <w:b/>
          <w:color w:val="525866"/>
          <w:sz w:val="22"/>
        </w:rPr>
        <w:t xml:space="preserve">Relevance: </w:t>
      </w:r>
      <w:r>
        <w:rPr>
          <w:rFonts w:ascii="Calibri" w:hAnsi="Calibri"/>
          <w:color w:val="525866"/>
          <w:sz w:val="22"/>
        </w:rPr>
        <w:t>STZ's fiscal Q1 covers March–May 2026, overlapping with the first two months of TAP's Q2. STZ is the most direct U.S. beer peer (Modelo, Corona) and its commentary on category trends is the highest-quality read-through available.</w:t>
      </w:r>
    </w:p>
    <w:p>
      <w:pPr>
        <w:pStyle w:val="ListBullet"/>
        <w:ind w:left="360" w:hanging="360"/>
      </w:pPr>
      <w:r>
        <w:rPr>
          <w:rFonts w:ascii="Calibri" w:hAnsi="Calibri"/>
          <w:b/>
          <w:color w:val="525866"/>
          <w:sz w:val="22"/>
        </w:rPr>
        <w:t xml:space="preserve">Demand trajectory: </w:t>
      </w:r>
      <w:r>
        <w:rPr>
          <w:rFonts w:ascii="Calibri" w:hAnsi="Calibri"/>
          <w:color w:val="525866"/>
          <w:sz w:val="22"/>
        </w:rPr>
        <w:t xml:space="preserve">STZ described a "volatile quarter" — a "very strong March" followed by a consumer slowdown in April–May driven by a "massive spike in gas prices." As of late June, STZ noted a "modest reacceleration" in consumption trends with "healthy return to some growth rates" and "very encouraging" Circana data for the final week of the quarter. Management characterized the improvement as "more to do with some of the headwinds abating than any kind of onetime tailwinds," suggesting durability. </w:t>
      </w:r>
      <w:r>
        <w:rPr>
          <w:rFonts w:ascii="Calibri" w:hAnsi="Calibri"/>
          <w:b/>
          <w:color w:val="525866"/>
          <w:sz w:val="22"/>
        </w:rPr>
        <w:t xml:space="preserve">TAP read-through: </w:t>
      </w:r>
      <w:r>
        <w:rPr>
          <w:rFonts w:ascii="Calibri" w:hAnsi="Calibri"/>
          <w:color w:val="525866"/>
          <w:sz w:val="22"/>
        </w:rPr>
        <w:t>The April–May softness is consistent with TAP's guided shipment weakness; the late-June reacceleration is a modest positive for brand volumes and could mean TAP's brand volume trends were better than the shipment guidance implied.</w:t>
      </w:r>
    </w:p>
    <w:p>
      <w:pPr>
        <w:pStyle w:val="ListBullet"/>
        <w:ind w:left="360" w:hanging="360"/>
      </w:pPr>
      <w:r>
        <w:rPr>
          <w:rFonts w:ascii="Calibri" w:hAnsi="Calibri"/>
          <w:b/>
          <w:color w:val="525866"/>
          <w:sz w:val="22"/>
        </w:rPr>
        <w:t xml:space="preserve">World Cup &amp; events: </w:t>
      </w:r>
      <w:r>
        <w:rPr>
          <w:rFonts w:ascii="Calibri" w:hAnsi="Calibri"/>
          <w:color w:val="525866"/>
          <w:sz w:val="22"/>
        </w:rPr>
        <w:t xml:space="preserve">STZ highlighted the World Cup and local sporting events (e.g., Knicks in NYC) as driving consumers to beer occasions in both on- and off-premise. "Having these great events rolling through the summer could be quite meaningful." </w:t>
      </w:r>
      <w:r>
        <w:rPr>
          <w:rFonts w:ascii="Calibri" w:hAnsi="Calibri"/>
          <w:b/>
          <w:color w:val="525866"/>
          <w:sz w:val="22"/>
        </w:rPr>
        <w:t xml:space="preserve">TAP read-through: </w:t>
      </w:r>
      <w:r>
        <w:rPr>
          <w:rFonts w:ascii="Calibri" w:hAnsi="Calibri"/>
          <w:color w:val="525866"/>
          <w:sz w:val="22"/>
        </w:rPr>
        <w:t>TAP's largest media investment in years is tied to the World Cup and Americas 250th — STZ's commentary validates the category tailwind, though TAP is not a World Cup sponsor and benefits only from general category uplift.</w:t>
      </w:r>
    </w:p>
    <w:p>
      <w:pPr>
        <w:pStyle w:val="ListBullet"/>
        <w:ind w:left="360" w:hanging="360"/>
      </w:pPr>
      <w:r>
        <w:rPr>
          <w:rFonts w:ascii="Calibri" w:hAnsi="Calibri"/>
          <w:b/>
          <w:color w:val="525866"/>
          <w:sz w:val="22"/>
        </w:rPr>
        <w:t xml:space="preserve">Consumer segmentation: </w:t>
      </w:r>
      <w:r>
        <w:rPr>
          <w:rFonts w:ascii="Calibri" w:hAnsi="Calibri"/>
          <w:color w:val="525866"/>
          <w:sz w:val="22"/>
        </w:rPr>
        <w:t xml:space="preserve">STZ flagged that "Hispanic ZIP codes" remain "even more adversely impacted" by macro headwinds vs. general population, and that Texas and Florida "continue to be challenged." </w:t>
      </w:r>
      <w:r>
        <w:rPr>
          <w:rFonts w:ascii="Calibri" w:hAnsi="Calibri"/>
          <w:b/>
          <w:color w:val="525866"/>
          <w:sz w:val="22"/>
        </w:rPr>
        <w:t xml:space="preserve">TAP read-through: </w:t>
      </w:r>
      <w:r>
        <w:rPr>
          <w:rFonts w:ascii="Calibri" w:hAnsi="Calibri"/>
          <w:color w:val="525866"/>
          <w:sz w:val="22"/>
        </w:rPr>
        <w:t>TAP's core brands (Miller Lite, Coors Light) skew toward lower-income and Midwest/South consumers — this is a headwind, particularly for the value segment where TAP is investing (Keystone, High Life).</w:t>
      </w:r>
    </w:p>
    <w:p>
      <w:pPr>
        <w:pStyle w:val="ListBullet"/>
        <w:ind w:left="360" w:hanging="360"/>
      </w:pPr>
      <w:r>
        <w:rPr>
          <w:rFonts w:ascii="Calibri" w:hAnsi="Calibri"/>
          <w:b/>
          <w:color w:val="525866"/>
          <w:sz w:val="22"/>
        </w:rPr>
        <w:t xml:space="preserve">Pack architecture: </w:t>
      </w:r>
      <w:r>
        <w:rPr>
          <w:rFonts w:ascii="Calibri" w:hAnsi="Calibri"/>
          <w:color w:val="525866"/>
          <w:sz w:val="22"/>
        </w:rPr>
        <w:t xml:space="preserve">STZ observed "K-shaped" consumer behavior with strong demand for both small/value packs and large sharing packs, with the middle under pressure. </w:t>
      </w:r>
      <w:r>
        <w:rPr>
          <w:rFonts w:ascii="Calibri" w:hAnsi="Calibri"/>
          <w:b/>
          <w:color w:val="525866"/>
          <w:sz w:val="22"/>
        </w:rPr>
        <w:t xml:space="preserve">TAP read-through: </w:t>
      </w:r>
      <w:r>
        <w:rPr>
          <w:rFonts w:ascii="Calibri" w:hAnsi="Calibri"/>
          <w:color w:val="525866"/>
          <w:sz w:val="22"/>
        </w:rPr>
        <w:t>Consistent with TAP's own commentary on singles and large packs outperforming; validates TAP's pack architecture investments.</w:t>
      </w:r>
    </w:p>
    <w:p>
      <w:pPr>
        <w:pStyle w:val="ListBullet"/>
        <w:ind w:left="360" w:hanging="360"/>
      </w:pPr>
      <w:r>
        <w:rPr>
          <w:rFonts w:ascii="Calibri" w:hAnsi="Calibri"/>
          <w:b/>
          <w:color w:val="525866"/>
          <w:sz w:val="22"/>
        </w:rPr>
        <w:t xml:space="preserve">Margins: </w:t>
      </w:r>
      <w:r>
        <w:rPr>
          <w:rFonts w:ascii="Calibri" w:hAnsi="Calibri"/>
          <w:color w:val="525866"/>
          <w:sz w:val="22"/>
        </w:rPr>
        <w:t xml:space="preserve">STZ guided Q2–Q3 marketing spend to "over 10% of net sales" due to World Cup, College Football, and NFL activation, with SG&amp;A also elevated from lapping lower incentive comp. </w:t>
      </w:r>
      <w:r>
        <w:rPr>
          <w:rFonts w:ascii="Calibri" w:hAnsi="Calibri"/>
          <w:b/>
          <w:color w:val="525866"/>
          <w:sz w:val="22"/>
        </w:rPr>
        <w:t xml:space="preserve">TAP read-through: </w:t>
      </w:r>
      <w:r>
        <w:rPr>
          <w:rFonts w:ascii="Calibri" w:hAnsi="Calibri"/>
          <w:color w:val="525866"/>
          <w:sz w:val="22"/>
        </w:rPr>
        <w:t>Confirms industry-wide MG&amp;A pressure in Q2; TAP's own MG&amp;A guidance (largest increase in Q2) is consistent with the competitive environment.</w:t>
      </w:r>
    </w:p>
    <w:p>
      <w:pPr>
        <w:pStyle w:val="ListBullet"/>
        <w:ind w:left="360" w:hanging="360"/>
      </w:pPr>
      <w:r>
        <w:rPr>
          <w:rFonts w:ascii="Calibri" w:hAnsi="Calibri"/>
          <w:b/>
          <w:i/>
          <w:color w:val="525866"/>
          <w:sz w:val="22"/>
        </w:rPr>
        <w:t xml:space="preserve">Caveat: </w:t>
      </w:r>
      <w:r>
        <w:rPr>
          <w:rFonts w:ascii="Calibri" w:hAnsi="Calibri"/>
          <w:i/>
          <w:color w:val="525866"/>
          <w:sz w:val="22"/>
        </w:rPr>
        <w:t>STZ's portfolio (Modelo, Corona) is more premium-positioned and skews more heavily Hispanic than TAP's; the reacceleration commentary may not fully translate to TAP's mainstream/value-heavy mix.</w:t>
      </w:r>
    </w:p>
    <w:p>
      <w:pPr>
        <w:pStyle w:val="Heading3"/>
      </w:pPr>
      <w:r>
        <w:rPr>
          <w:rFonts w:ascii="Calibri" w:hAnsi="Calibri"/>
          <w:b/>
          <w:color w:val="3B4259"/>
          <w:sz w:val="24"/>
        </w:rPr>
        <w:t>6.2 Boston Beer Company (SAM) — Q2 2026 Earnings Call, July 23, 2026</w:t>
      </w:r>
    </w:p>
    <w:p>
      <w:r>
        <w:rPr>
          <w:rFonts w:ascii="Calibri" w:hAnsi="Calibri"/>
          <w:b/>
          <w:color w:val="525866"/>
          <w:sz w:val="22"/>
        </w:rPr>
        <w:t xml:space="preserve">Relevance: </w:t>
      </w:r>
      <w:r>
        <w:rPr>
          <w:rFonts w:ascii="Calibri" w:hAnsi="Calibri"/>
          <w:color w:val="525866"/>
          <w:sz w:val="22"/>
        </w:rPr>
        <w:t>SAM's Q2 covers April–June 2026, the exact same period as TAP's Q2. SAM competes in FMB, hard seltzer, and RTD spirits — adjacent to TAP's Beyond Beer portfolio. SAM's commentary on the broader alcoholic beverage market and consumer health is directly applicable.</w:t>
      </w:r>
    </w:p>
    <w:p>
      <w:pPr>
        <w:pStyle w:val="ListBullet"/>
        <w:ind w:left="360" w:hanging="360"/>
      </w:pPr>
      <w:r>
        <w:rPr>
          <w:rFonts w:ascii="Calibri" w:hAnsi="Calibri"/>
          <w:b/>
          <w:color w:val="525866"/>
          <w:sz w:val="22"/>
        </w:rPr>
        <w:t xml:space="preserve">Industry volumes: </w:t>
      </w:r>
      <w:r>
        <w:rPr>
          <w:rFonts w:ascii="Calibri" w:hAnsi="Calibri"/>
          <w:color w:val="525866"/>
          <w:sz w:val="22"/>
        </w:rPr>
        <w:t xml:space="preserve">SAM estimated the combined beer and beyond-beer market was down ~2% in volume in H1 2026, an improvement from -4% for full-year 2025. Traditional beer was down ~3%; beyond beer was flat to down 1%. SAM maintained full-year depletion guidance of down low-to-mid single digits, trending toward the lower end. </w:t>
      </w:r>
      <w:r>
        <w:rPr>
          <w:rFonts w:ascii="Calibri" w:hAnsi="Calibri"/>
          <w:b/>
          <w:color w:val="525866"/>
          <w:sz w:val="22"/>
        </w:rPr>
        <w:t xml:space="preserve">TAP read-through: </w:t>
      </w:r>
      <w:r>
        <w:rPr>
          <w:rFonts w:ascii="Calibri" w:hAnsi="Calibri"/>
          <w:color w:val="525866"/>
          <w:sz w:val="22"/>
        </w:rPr>
        <w:t>The -2% H1 industry trend is better than 2025 but still negative — consistent with TAP's expectation that 2026 will be "healthier than 2025" but not a recovery. TAP's brand volume consensus of -5.8% YoY in Q2 implies TAP is losing share, which is consistent with management's own acknowledgment.</w:t>
      </w:r>
    </w:p>
    <w:p>
      <w:pPr>
        <w:pStyle w:val="ListBullet"/>
        <w:ind w:left="360" w:hanging="360"/>
      </w:pPr>
      <w:r>
        <w:rPr>
          <w:rFonts w:ascii="Calibri" w:hAnsi="Calibri"/>
          <w:b/>
          <w:color w:val="525866"/>
          <w:sz w:val="22"/>
        </w:rPr>
        <w:t xml:space="preserve">Consumer health: </w:t>
      </w:r>
      <w:r>
        <w:rPr>
          <w:rFonts w:ascii="Calibri" w:hAnsi="Calibri"/>
          <w:color w:val="525866"/>
          <w:sz w:val="22"/>
        </w:rPr>
        <w:t xml:space="preserve">SAM noted consumers "remain under pressure from the cumulative effects of inflation and a significant increase in gas prices," with wages not keeping up with inflation creating "amplified impact on discretionary income." SAM cited a "1 or 2% chronic long-term downward pressure on per capita consumption, somewhat offset by continuing premiumization." </w:t>
      </w:r>
      <w:r>
        <w:rPr>
          <w:rFonts w:ascii="Calibri" w:hAnsi="Calibri"/>
          <w:b/>
          <w:color w:val="525866"/>
          <w:sz w:val="22"/>
        </w:rPr>
        <w:t xml:space="preserve">TAP read-through: </w:t>
      </w:r>
      <w:r>
        <w:rPr>
          <w:rFonts w:ascii="Calibri" w:hAnsi="Calibri"/>
          <w:color w:val="525866"/>
          <w:sz w:val="22"/>
        </w:rPr>
        <w:t>Validates TAP's cautious macro tone; the chronic per-capita decline thesis is the structural bear case for the entire beer category.</w:t>
      </w:r>
    </w:p>
    <w:p>
      <w:pPr>
        <w:pStyle w:val="ListBullet"/>
        <w:ind w:left="360" w:hanging="360"/>
      </w:pPr>
      <w:r>
        <w:rPr>
          <w:rFonts w:ascii="Calibri" w:hAnsi="Calibri"/>
          <w:b/>
          <w:color w:val="525866"/>
          <w:sz w:val="22"/>
        </w:rPr>
        <w:t xml:space="preserve">World Cup on-premise impact: </w:t>
      </w:r>
      <w:r>
        <w:rPr>
          <w:rFonts w:ascii="Calibri" w:hAnsi="Calibri"/>
          <w:color w:val="525866"/>
          <w:sz w:val="22"/>
        </w:rPr>
        <w:t xml:space="preserve">SAM noted a 30% increase in on-premise sales in Boston during World Cup games, but characterized the overall impact as "less than half a percent of the annual business" given SAM's 12% on-premise mix. </w:t>
      </w:r>
      <w:r>
        <w:rPr>
          <w:rFonts w:ascii="Calibri" w:hAnsi="Calibri"/>
          <w:b/>
          <w:color w:val="525866"/>
          <w:sz w:val="22"/>
        </w:rPr>
        <w:t xml:space="preserve">TAP read-through: </w:t>
      </w:r>
      <w:r>
        <w:rPr>
          <w:rFonts w:ascii="Calibri" w:hAnsi="Calibri"/>
          <w:color w:val="525866"/>
          <w:sz w:val="22"/>
        </w:rPr>
        <w:t>TAP's on-premise mix is ~15% of Americas revenue — similar to SAM. The World Cup lift is real but modest in absolute terms; TAP's larger media investment may drive more brand awareness than direct volume.</w:t>
      </w:r>
    </w:p>
    <w:p>
      <w:pPr>
        <w:pStyle w:val="ListBullet"/>
        <w:ind w:left="360" w:hanging="360"/>
      </w:pPr>
      <w:r>
        <w:rPr>
          <w:rFonts w:ascii="Calibri" w:hAnsi="Calibri"/>
          <w:b/>
          <w:color w:val="525866"/>
          <w:sz w:val="22"/>
        </w:rPr>
        <w:t xml:space="preserve">Freight inflation: </w:t>
      </w:r>
      <w:r>
        <w:rPr>
          <w:rFonts w:ascii="Calibri" w:hAnsi="Calibri"/>
          <w:color w:val="525866"/>
          <w:sz w:val="22"/>
        </w:rPr>
        <w:t xml:space="preserve">SAM flagged freight rate inflation of &gt;35% YoY. </w:t>
      </w:r>
      <w:r>
        <w:rPr>
          <w:rFonts w:ascii="Calibri" w:hAnsi="Calibri"/>
          <w:b/>
          <w:color w:val="525866"/>
          <w:sz w:val="22"/>
        </w:rPr>
        <w:t xml:space="preserve">TAP read-through: </w:t>
      </w:r>
      <w:r>
        <w:rPr>
          <w:rFonts w:ascii="Calibri" w:hAnsi="Calibri"/>
          <w:color w:val="525866"/>
          <w:sz w:val="22"/>
        </w:rPr>
        <w:t>An incremental cost headwind not explicitly called out in TAP's guidance; could be a modest negative surprise in COGS.</w:t>
      </w:r>
    </w:p>
    <w:p>
      <w:pPr>
        <w:pStyle w:val="ListBullet"/>
        <w:ind w:left="360" w:hanging="360"/>
      </w:pPr>
      <w:r>
        <w:rPr>
          <w:rFonts w:ascii="Calibri" w:hAnsi="Calibri"/>
          <w:b/>
          <w:color w:val="525866"/>
          <w:sz w:val="22"/>
        </w:rPr>
        <w:t xml:space="preserve">RTD competitive dynamics: </w:t>
      </w:r>
      <w:r>
        <w:rPr>
          <w:rFonts w:ascii="Calibri" w:hAnsi="Calibri"/>
          <w:color w:val="525866"/>
          <w:sz w:val="22"/>
        </w:rPr>
        <w:t xml:space="preserve">SAM noted FMB category headwinds from RTD spirits expansion (Twisted Tea losing display space to spirits-based hard teas like Sun Cruiser and Surfside). </w:t>
      </w:r>
      <w:r>
        <w:rPr>
          <w:rFonts w:ascii="Calibri" w:hAnsi="Calibri"/>
          <w:b/>
          <w:color w:val="525866"/>
          <w:sz w:val="22"/>
        </w:rPr>
        <w:t xml:space="preserve">TAP read-through: </w:t>
      </w:r>
      <w:r>
        <w:rPr>
          <w:rFonts w:ascii="Calibri" w:hAnsi="Calibri"/>
          <w:color w:val="525866"/>
          <w:sz w:val="22"/>
        </w:rPr>
        <w:t>TAP's Monaco Cocktails acquisition (closed April 1) positions it in RTD spirits — the fastest-growing segment. Monaco's convenience-store concentration is a strategic fit with the channel shift SAM describes.</w:t>
      </w:r>
    </w:p>
    <w:p>
      <w:pPr>
        <w:pStyle w:val="ListBullet"/>
        <w:ind w:left="360" w:hanging="360"/>
      </w:pPr>
      <w:r>
        <w:rPr>
          <w:rFonts w:ascii="Calibri" w:hAnsi="Calibri"/>
          <w:b/>
          <w:i/>
          <w:color w:val="525866"/>
          <w:sz w:val="22"/>
        </w:rPr>
        <w:t xml:space="preserve">Caveat: </w:t>
      </w:r>
      <w:r>
        <w:rPr>
          <w:rFonts w:ascii="Calibri" w:hAnsi="Calibri"/>
          <w:i/>
          <w:color w:val="525866"/>
          <w:sz w:val="22"/>
        </w:rPr>
        <w:t>SAM's portfolio (Twisted Tea, Truly, Sam Adams) has been underperforming the broader category; SAM's own volume trends are worse than the industry, so the category read-through is more useful than the company-specific commentary.</w:t>
      </w:r>
    </w:p>
    <w:p>
      <w:pPr>
        <w:pStyle w:val="Heading3"/>
      </w:pPr>
      <w:r>
        <w:rPr>
          <w:rFonts w:ascii="Calibri" w:hAnsi="Calibri"/>
          <w:b/>
          <w:color w:val="3B4259"/>
          <w:sz w:val="24"/>
        </w:rPr>
        <w:t>6.3 AB InBev (BUD) — Q2 2026 Earnings Call, July 30, 2026</w:t>
      </w:r>
    </w:p>
    <w:p>
      <w:r>
        <w:rPr>
          <w:rFonts w:ascii="Calibri" w:hAnsi="Calibri"/>
          <w:b/>
          <w:color w:val="525866"/>
          <w:sz w:val="22"/>
        </w:rPr>
        <w:t xml:space="preserve">Relevance: </w:t>
      </w:r>
      <w:r>
        <w:rPr>
          <w:rFonts w:ascii="Calibri" w:hAnsi="Calibri"/>
          <w:color w:val="525866"/>
          <w:sz w:val="22"/>
        </w:rPr>
        <w:t>BUD's Q2 covers April–June 2026, the exact same period as TAP's Q2. BUD is the largest global brewer and the most direct U.S. competitor (Bud Light, Michelob Ultra, Busch Light). BUD's U.S. commentary is the most important peer read-through for TAP.</w:t>
      </w:r>
    </w:p>
    <w:p>
      <w:pPr>
        <w:pStyle w:val="ListBullet"/>
        <w:ind w:left="360" w:hanging="360"/>
      </w:pPr>
      <w:r>
        <w:rPr>
          <w:rFonts w:ascii="Calibri" w:hAnsi="Calibri"/>
          <w:b/>
          <w:color w:val="525866"/>
          <w:sz w:val="22"/>
        </w:rPr>
        <w:t xml:space="preserve">U.S. consumer environment: </w:t>
      </w:r>
      <w:r>
        <w:rPr>
          <w:rFonts w:ascii="Calibri" w:hAnsi="Calibri"/>
          <w:color w:val="525866"/>
          <w:sz w:val="22"/>
        </w:rPr>
        <w:t xml:space="preserve">BUD CEO Doukeris stated the U.S. consumer environment "further deteriorated a little bit in Q2 because of inflation that accelerated gas prices." He also cited weather as "a challenge in the U.S., while we continue to transition from La Nina to El Nino." The 4th of July "flipped to Q3 vs. where it was last year in Q2" — a calendar headwind for Q2 volumes. </w:t>
      </w:r>
      <w:r>
        <w:rPr>
          <w:rFonts w:ascii="Calibri" w:hAnsi="Calibri"/>
          <w:b/>
          <w:color w:val="525866"/>
          <w:sz w:val="22"/>
        </w:rPr>
        <w:t xml:space="preserve">TAP read-through: </w:t>
      </w:r>
      <w:r>
        <w:rPr>
          <w:rFonts w:ascii="Calibri" w:hAnsi="Calibri"/>
          <w:color w:val="525866"/>
          <w:sz w:val="22"/>
        </w:rPr>
        <w:t>Confirms the April–May softness and weather headwinds that TAP's shipment guidance already reflects. The 4th of July calendar shift is a modest Q2 headwind / Q3 tailwind for TAP as well.</w:t>
      </w:r>
    </w:p>
    <w:p>
      <w:pPr>
        <w:pStyle w:val="ListBullet"/>
        <w:ind w:left="360" w:hanging="360"/>
      </w:pPr>
      <w:r>
        <w:rPr>
          <w:rFonts w:ascii="Calibri" w:hAnsi="Calibri"/>
          <w:b/>
          <w:color w:val="525866"/>
          <w:sz w:val="22"/>
        </w:rPr>
        <w:t xml:space="preserve">U.S. competitive dynamics: </w:t>
      </w:r>
      <w:r>
        <w:rPr>
          <w:rFonts w:ascii="Calibri" w:hAnsi="Calibri"/>
          <w:color w:val="525866"/>
          <w:sz w:val="22"/>
        </w:rPr>
        <w:t xml:space="preserve">BUD reported U.S. portfolio share gains in both beer and Beyond Beer. Michelob Ultra, Busch Light, and Busch Light Apple were "the top 3 volume share gainers in the industry." BUD's Beyond Beer portfolio delivered "revenue growth in the mid-70s" with Cutwater growing "in the triple digits." </w:t>
      </w:r>
      <w:r>
        <w:rPr>
          <w:rFonts w:ascii="Calibri" w:hAnsi="Calibri"/>
          <w:b/>
          <w:color w:val="525866"/>
          <w:sz w:val="22"/>
        </w:rPr>
        <w:t xml:space="preserve">TAP read-through: </w:t>
      </w:r>
      <w:r>
        <w:rPr>
          <w:rFonts w:ascii="Calibri" w:hAnsi="Calibri"/>
          <w:color w:val="525866"/>
          <w:sz w:val="22"/>
        </w:rPr>
        <w:t>BUD is gaining share at TAP's expense in premium light (Michelob Ultra vs. Coors Light/Miller Lite) and in RTD. This is the most direct competitive pressure on TAP's core brands and validates management's acknowledgment of "heightened competition" in select geographies.</w:t>
      </w:r>
    </w:p>
    <w:p>
      <w:pPr>
        <w:pStyle w:val="ListBullet"/>
        <w:ind w:left="360" w:hanging="360"/>
      </w:pPr>
      <w:r>
        <w:rPr>
          <w:rFonts w:ascii="Calibri" w:hAnsi="Calibri"/>
          <w:b/>
          <w:color w:val="525866"/>
          <w:sz w:val="22"/>
        </w:rPr>
        <w:t xml:space="preserve">World Cup volume lift: </w:t>
      </w:r>
      <w:r>
        <w:rPr>
          <w:rFonts w:ascii="Calibri" w:hAnsi="Calibri"/>
          <w:color w:val="525866"/>
          <w:sz w:val="22"/>
        </w:rPr>
        <w:t xml:space="preserve">BUD quantified the World Cup volume lift at ~0.25pp for the full year (range: 0.20–0.30pp), with benefits expected to "extend far beyond the year." BUD is a FIFA World Cup sponsor. </w:t>
      </w:r>
      <w:r>
        <w:rPr>
          <w:rFonts w:ascii="Calibri" w:hAnsi="Calibri"/>
          <w:b/>
          <w:color w:val="525866"/>
          <w:sz w:val="22"/>
        </w:rPr>
        <w:t xml:space="preserve">TAP read-through: </w:t>
      </w:r>
      <w:r>
        <w:rPr>
          <w:rFonts w:ascii="Calibri" w:hAnsi="Calibri"/>
          <w:color w:val="525866"/>
          <w:sz w:val="22"/>
        </w:rPr>
        <w:t>TAP is not a World Cup sponsor but benefits from general category uplift. The 0.25pp industry lift is modest; TAP's Americas 250th and World Cup media spend may drive brand awareness but is unlikely to generate a measurable volume lift comparable to BUD's sponsorship.</w:t>
      </w:r>
    </w:p>
    <w:p>
      <w:pPr>
        <w:pStyle w:val="ListBullet"/>
        <w:ind w:left="360" w:hanging="360"/>
      </w:pPr>
      <w:r>
        <w:rPr>
          <w:rFonts w:ascii="Calibri" w:hAnsi="Calibri"/>
          <w:b/>
          <w:color w:val="525866"/>
          <w:sz w:val="22"/>
        </w:rPr>
        <w:t xml:space="preserve">Non-alcoholic beer: </w:t>
      </w:r>
      <w:r>
        <w:rPr>
          <w:rFonts w:ascii="Calibri" w:hAnsi="Calibri"/>
          <w:color w:val="525866"/>
          <w:sz w:val="22"/>
        </w:rPr>
        <w:t xml:space="preserve">BUD's non-alcohol portfolio delivered 27% revenue growth, with "60% of volume coming from new occasions and new consumers." </w:t>
      </w:r>
      <w:r>
        <w:rPr>
          <w:rFonts w:ascii="Calibri" w:hAnsi="Calibri"/>
          <w:b/>
          <w:color w:val="525866"/>
          <w:sz w:val="22"/>
        </w:rPr>
        <w:t xml:space="preserve">TAP read-through: </w:t>
      </w:r>
      <w:r>
        <w:rPr>
          <w:rFonts w:ascii="Calibri" w:hAnsi="Calibri"/>
          <w:color w:val="525866"/>
          <w:sz w:val="22"/>
        </w:rPr>
        <w:t>Validates TAP's non-alcoholic investments (Blue Moon NA, Coors 0.0 Northeast launch). The incremental consumer opportunity is real, but TAP is earlier-stage in NA beer than BUD.</w:t>
      </w:r>
    </w:p>
    <w:p>
      <w:pPr>
        <w:pStyle w:val="ListBullet"/>
        <w:ind w:left="360" w:hanging="360"/>
      </w:pPr>
      <w:r>
        <w:rPr>
          <w:rFonts w:ascii="Calibri" w:hAnsi="Calibri"/>
          <w:b/>
          <w:color w:val="525866"/>
          <w:sz w:val="22"/>
        </w:rPr>
        <w:t xml:space="preserve">Cost outlook: </w:t>
      </w:r>
      <w:r>
        <w:rPr>
          <w:rFonts w:ascii="Calibri" w:hAnsi="Calibri"/>
          <w:color w:val="525866"/>
          <w:sz w:val="22"/>
        </w:rPr>
        <w:t xml:space="preserve">BUD flagged "more pressure in terms of energy, which sometimes is unhedged, and logistics expenses, which are rising in H2." </w:t>
      </w:r>
      <w:r>
        <w:rPr>
          <w:rFonts w:ascii="Calibri" w:hAnsi="Calibri"/>
          <w:b/>
          <w:color w:val="525866"/>
          <w:sz w:val="22"/>
        </w:rPr>
        <w:t xml:space="preserve">TAP read-through: </w:t>
      </w:r>
      <w:r>
        <w:rPr>
          <w:rFonts w:ascii="Calibri" w:hAnsi="Calibri"/>
          <w:color w:val="525866"/>
          <w:sz w:val="22"/>
        </w:rPr>
        <w:t>An incremental cost headwind for TAP in H2; TAP's Midwest Premium aluminum is the primary cost concern, but rising energy and freight could add to COGS pressure.</w:t>
      </w:r>
    </w:p>
    <w:p>
      <w:pPr>
        <w:pStyle w:val="ListBullet"/>
        <w:ind w:left="360" w:hanging="360"/>
      </w:pPr>
      <w:r>
        <w:rPr>
          <w:rFonts w:ascii="Calibri" w:hAnsi="Calibri"/>
          <w:b/>
          <w:i/>
          <w:color w:val="525866"/>
          <w:sz w:val="22"/>
        </w:rPr>
        <w:t xml:space="preserve">Caveat: </w:t>
      </w:r>
      <w:r>
        <w:rPr>
          <w:rFonts w:ascii="Calibri" w:hAnsi="Calibri"/>
          <w:i/>
          <w:color w:val="525866"/>
          <w:sz w:val="22"/>
        </w:rPr>
        <w:t>BUD's global scale and World Cup sponsorship make its volume trends less directly comparable to TAP's U.S.-centric business. BUD's share gains in premium light are a direct headwind for TAP's core brands.</w:t>
      </w:r>
    </w:p>
    <w:p>
      <w:pPr>
        <w:pStyle w:val="Heading3"/>
      </w:pPr>
      <w:r>
        <w:rPr>
          <w:rFonts w:ascii="Calibri" w:hAnsi="Calibri"/>
          <w:b/>
          <w:color w:val="3B4259"/>
          <w:sz w:val="24"/>
        </w:rPr>
        <w:t>6.4 Peer Read-Through Summary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Signal</w:t>
            </w:r>
          </w:p>
        </w:tc>
        <w:tc>
          <w:tcPr>
            <w:tcW w:type="dxa" w:w="2880"/>
            <w:shd w:val="clear" w:color="auto" w:fill="3B4259"/>
          </w:tcPr>
          <w:p>
            <w:r>
              <w:rPr>
                <w:rFonts w:ascii="Calibri" w:hAnsi="Calibri"/>
                <w:b/>
                <w:color w:val="FFFFFF"/>
                <w:sz w:val="22"/>
              </w:rPr>
              <w:t>Net Read-Through for TAP Q2</w:t>
            </w:r>
          </w:p>
        </w:tc>
      </w:tr>
      <w:tr>
        <w:tc>
          <w:tcPr>
            <w:tcW w:type="dxa" w:w="2880"/>
          </w:tcPr>
          <w:p>
            <w:r>
              <w:rPr>
                <w:rFonts w:ascii="Calibri" w:hAnsi="Calibri"/>
                <w:sz w:val="22"/>
              </w:rPr>
              <w:t>U.S. beer category volume (Apr–Jun)</w:t>
            </w:r>
          </w:p>
        </w:tc>
        <w:tc>
          <w:tcPr>
            <w:tcW w:type="dxa" w:w="2880"/>
          </w:tcPr>
          <w:p>
            <w:r>
              <w:rPr>
                <w:rFonts w:ascii="Calibri" w:hAnsi="Calibri"/>
                <w:sz w:val="22"/>
              </w:rPr>
              <w:t>Down ~2–3% H1; deteriorated Apr–May, modest reaccel late June</w:t>
            </w:r>
          </w:p>
        </w:tc>
        <w:tc>
          <w:tcPr>
            <w:tcW w:type="dxa" w:w="2880"/>
          </w:tcPr>
          <w:p>
            <w:r>
              <w:rPr>
                <w:rFonts w:ascii="Calibri" w:hAnsi="Calibri"/>
                <w:b/>
                <w:color w:val="30A46C"/>
                <w:sz w:val="22"/>
              </w:rPr>
              <w:t>Neutral-to-slightly positive</w:t>
            </w:r>
          </w:p>
        </w:tc>
      </w:tr>
      <w:tr>
        <w:tc>
          <w:tcPr>
            <w:tcW w:type="dxa" w:w="2880"/>
          </w:tcPr>
          <w:p>
            <w:r>
              <w:rPr>
                <w:rFonts w:ascii="Calibri" w:hAnsi="Calibri"/>
                <w:sz w:val="22"/>
              </w:rPr>
              <w:t>Consumer health / macro</w:t>
            </w:r>
          </w:p>
        </w:tc>
        <w:tc>
          <w:tcPr>
            <w:tcW w:type="dxa" w:w="2880"/>
          </w:tcPr>
          <w:p>
            <w:r>
              <w:rPr>
                <w:rFonts w:ascii="Calibri" w:hAnsi="Calibri"/>
                <w:sz w:val="22"/>
              </w:rPr>
              <w:t>Gas prices, inflation, wage pressure; lower-income most impacted</w:t>
            </w:r>
          </w:p>
        </w:tc>
        <w:tc>
          <w:tcPr>
            <w:tcW w:type="dxa" w:w="2880"/>
          </w:tcPr>
          <w:p>
            <w:r>
              <w:rPr>
                <w:rFonts w:ascii="Calibri" w:hAnsi="Calibri"/>
                <w:b/>
                <w:color w:val="E5484D"/>
                <w:sz w:val="22"/>
              </w:rPr>
              <w:t>Negative (TAP skews mainstream/value)</w:t>
            </w:r>
          </w:p>
        </w:tc>
      </w:tr>
      <w:tr>
        <w:tc>
          <w:tcPr>
            <w:tcW w:type="dxa" w:w="2880"/>
          </w:tcPr>
          <w:p>
            <w:r>
              <w:rPr>
                <w:rFonts w:ascii="Calibri" w:hAnsi="Calibri"/>
                <w:sz w:val="22"/>
              </w:rPr>
              <w:t>World Cup / events lift</w:t>
            </w:r>
          </w:p>
        </w:tc>
        <w:tc>
          <w:tcPr>
            <w:tcW w:type="dxa" w:w="2880"/>
          </w:tcPr>
          <w:p>
            <w:r>
              <w:rPr>
                <w:rFonts w:ascii="Calibri" w:hAnsi="Calibri"/>
                <w:sz w:val="22"/>
              </w:rPr>
              <w:t>Real but modest (~0.25pp for BUD as sponsor); on-premise driven</w:t>
            </w:r>
          </w:p>
        </w:tc>
        <w:tc>
          <w:tcPr>
            <w:tcW w:type="dxa" w:w="2880"/>
          </w:tcPr>
          <w:p>
            <w:r>
              <w:rPr>
                <w:rFonts w:ascii="Calibri" w:hAnsi="Calibri"/>
                <w:b/>
                <w:color w:val="30A46C"/>
                <w:sz w:val="22"/>
              </w:rPr>
              <w:t>Modest positive (TAP not a sponsor)</w:t>
            </w:r>
          </w:p>
        </w:tc>
      </w:tr>
      <w:tr>
        <w:tc>
          <w:tcPr>
            <w:tcW w:type="dxa" w:w="2880"/>
          </w:tcPr>
          <w:p>
            <w:r>
              <w:rPr>
                <w:rFonts w:ascii="Calibri" w:hAnsi="Calibri"/>
                <w:sz w:val="22"/>
              </w:rPr>
              <w:t>Competitive intensity (premium light)</w:t>
            </w:r>
          </w:p>
        </w:tc>
        <w:tc>
          <w:tcPr>
            <w:tcW w:type="dxa" w:w="2880"/>
          </w:tcPr>
          <w:p>
            <w:r>
              <w:rPr>
                <w:rFonts w:ascii="Calibri" w:hAnsi="Calibri"/>
                <w:sz w:val="22"/>
              </w:rPr>
              <w:t>BUD gaining share (Michelob Ultra, Busch Light) at industry expense</w:t>
            </w:r>
          </w:p>
        </w:tc>
        <w:tc>
          <w:tcPr>
            <w:tcW w:type="dxa" w:w="2880"/>
          </w:tcPr>
          <w:p>
            <w:r>
              <w:rPr>
                <w:rFonts w:ascii="Calibri" w:hAnsi="Calibri"/>
                <w:b/>
                <w:color w:val="E5484D"/>
                <w:sz w:val="22"/>
              </w:rPr>
              <w:t>Negative (direct pressure on Coors Light/Miller Lite)</w:t>
            </w:r>
          </w:p>
        </w:tc>
      </w:tr>
      <w:tr>
        <w:tc>
          <w:tcPr>
            <w:tcW w:type="dxa" w:w="2880"/>
          </w:tcPr>
          <w:p>
            <w:r>
              <w:rPr>
                <w:rFonts w:ascii="Calibri" w:hAnsi="Calibri"/>
                <w:sz w:val="22"/>
              </w:rPr>
              <w:t>RTD / Beyond Beer</w:t>
            </w:r>
          </w:p>
        </w:tc>
        <w:tc>
          <w:tcPr>
            <w:tcW w:type="dxa" w:w="2880"/>
          </w:tcPr>
          <w:p>
            <w:r>
              <w:rPr>
                <w:rFonts w:ascii="Calibri" w:hAnsi="Calibri"/>
                <w:sz w:val="22"/>
              </w:rPr>
              <w:t>RTD spirits fastest-growing; FMB losing display space</w:t>
            </w:r>
          </w:p>
        </w:tc>
        <w:tc>
          <w:tcPr>
            <w:tcW w:type="dxa" w:w="2880"/>
          </w:tcPr>
          <w:p>
            <w:r>
              <w:rPr>
                <w:rFonts w:ascii="Calibri" w:hAnsi="Calibri"/>
                <w:b/>
                <w:color w:val="002FA7"/>
                <w:sz w:val="22"/>
              </w:rPr>
              <w:t>Neutral (Monaco acquisition positions TAP; integration risk)</w:t>
            </w:r>
          </w:p>
        </w:tc>
      </w:tr>
      <w:tr>
        <w:tc>
          <w:tcPr>
            <w:tcW w:type="dxa" w:w="2880"/>
          </w:tcPr>
          <w:p>
            <w:r>
              <w:rPr>
                <w:rFonts w:ascii="Calibri" w:hAnsi="Calibri"/>
                <w:sz w:val="22"/>
              </w:rPr>
              <w:t>Cost environment (freight, energy)</w:t>
            </w:r>
          </w:p>
        </w:tc>
        <w:tc>
          <w:tcPr>
            <w:tcW w:type="dxa" w:w="2880"/>
          </w:tcPr>
          <w:p>
            <w:r>
              <w:rPr>
                <w:rFonts w:ascii="Calibri" w:hAnsi="Calibri"/>
                <w:sz w:val="22"/>
              </w:rPr>
              <w:t>Freight +35% YoY (SAM); energy unhedged pressure (BUD)</w:t>
            </w:r>
          </w:p>
        </w:tc>
        <w:tc>
          <w:tcPr>
            <w:tcW w:type="dxa" w:w="2880"/>
          </w:tcPr>
          <w:p>
            <w:r>
              <w:rPr>
                <w:rFonts w:ascii="Calibri" w:hAnsi="Calibri"/>
                <w:b/>
                <w:color w:val="E5484D"/>
                <w:sz w:val="22"/>
              </w:rPr>
              <w:t>Modest negative (incremental to Midwest Premium headwind)</w:t>
            </w:r>
          </w:p>
        </w:tc>
      </w:tr>
      <w:tr>
        <w:tc>
          <w:tcPr>
            <w:tcW w:type="dxa" w:w="2880"/>
          </w:tcPr>
          <w:p>
            <w:r>
              <w:rPr>
                <w:rFonts w:ascii="Calibri" w:hAnsi="Calibri"/>
                <w:sz w:val="22"/>
              </w:rPr>
              <w:t>Non-alcoholic beer</w:t>
            </w:r>
          </w:p>
        </w:tc>
        <w:tc>
          <w:tcPr>
            <w:tcW w:type="dxa" w:w="2880"/>
          </w:tcPr>
          <w:p>
            <w:r>
              <w:rPr>
                <w:rFonts w:ascii="Calibri" w:hAnsi="Calibri"/>
                <w:sz w:val="22"/>
              </w:rPr>
              <w:t>Strong growth (+27% for BUD); new occasions/consumers</w:t>
            </w:r>
          </w:p>
        </w:tc>
        <w:tc>
          <w:tcPr>
            <w:tcW w:type="dxa" w:w="2880"/>
          </w:tcPr>
          <w:p>
            <w:r>
              <w:rPr>
                <w:rFonts w:ascii="Calibri" w:hAnsi="Calibri"/>
                <w:b/>
                <w:color w:val="30A46C"/>
                <w:sz w:val="22"/>
              </w:rPr>
              <w:t>Positive (validates TAP's NA investments)</w:t>
            </w:r>
          </w:p>
        </w:tc>
      </w:tr>
    </w:tbl>
    <w:p>
      <w:r>
        <w:rPr>
          <w:rFonts w:ascii="Calibri" w:hAnsi="Calibri"/>
          <w:i/>
          <w:color w:val="525866"/>
          <w:sz w:val="22"/>
        </w:rPr>
        <w:t>Sources: STZ Q1 FY2027 Earnings Call Transcript (July 1, 2026); SAM Q2 2026 Earnings Call Transcript (July 23, 2026); BUD Q2 2026 Earnings Call Transcript (July 30, 2026). All commentary limited to current-quarter (Q2 2026 calendar period) or forward-looking statements made post-Q1 2026 earnings.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material post-Q1 development is the EMEA&amp;APAC CEO medical leave (June 24), which adds leadership uncertainty to an already-challenged international segment; otherwise, the news flow has been quiet, with no guidance revisions or material announcements since April 30.</w:t>
      </w:r>
    </w:p>
    <w:p>
      <w:pPr>
        <w:pStyle w:val="ListBullet"/>
        <w:ind w:left="360" w:hanging="360"/>
      </w:pPr>
      <w:r>
        <w:rPr>
          <w:rFonts w:ascii="Calibri" w:hAnsi="Calibri"/>
          <w:color w:val="525866"/>
          <w:sz w:val="22"/>
        </w:rPr>
        <w:t xml:space="preserve">June 24, 2026 — EMEA&amp;APAC CEO Philip Whitehead takes medical leave; Simon Kerry (UK &amp; Ireland MD) appointed interim. </w:t>
      </w:r>
      <w:r>
        <w:rPr>
          <w:rFonts w:ascii="Calibri" w:hAnsi="Calibri"/>
          <w:b/>
          <w:color w:val="525866"/>
          <w:sz w:val="22"/>
        </w:rPr>
        <w:t xml:space="preserve">Implication: </w:t>
      </w:r>
      <w:r>
        <w:rPr>
          <w:rFonts w:ascii="Calibri" w:hAnsi="Calibri"/>
          <w:color w:val="525866"/>
          <w:sz w:val="22"/>
        </w:rPr>
        <w:t>Adds leadership uncertainty to the EMEA&amp;APAC segment at a critical time (UK competitive pressure, Sharp's Brewery closure integration, Madri softness). Not expected to impact Q2 results materially, but could affect H2 execution and investor confidence in the international turnaround.</w:t>
      </w:r>
    </w:p>
    <w:p>
      <w:pPr>
        <w:pStyle w:val="ListBullet"/>
        <w:ind w:left="360" w:hanging="360"/>
      </w:pPr>
      <w:r>
        <w:rPr>
          <w:rFonts w:ascii="Calibri" w:hAnsi="Calibri"/>
          <w:color w:val="525866"/>
          <w:sz w:val="22"/>
        </w:rPr>
        <w:t xml:space="preserve">April 1, 2026 — Monaco Cocktails acquisition closed ($275M). </w:t>
      </w:r>
      <w:r>
        <w:rPr>
          <w:rFonts w:ascii="Calibri" w:hAnsi="Calibri"/>
          <w:b/>
          <w:color w:val="525866"/>
          <w:sz w:val="22"/>
        </w:rPr>
        <w:t xml:space="preserve">Implication: </w:t>
      </w:r>
      <w:r>
        <w:rPr>
          <w:rFonts w:ascii="Calibri" w:hAnsi="Calibri"/>
          <w:color w:val="525866"/>
          <w:sz w:val="22"/>
        </w:rPr>
        <w:t>Monaco will contribute ~9 months of NSR in FY2026 (~1% of global NSR on a TTM basis) and incremental profitability in year 1. Q2 will be the first full quarter of Monaco in the P&amp;L. Integration is underway with ~80 Monaco sales employees retained. This is a modest positive for Beyond Beer revenue but adds integration complexity.</w:t>
      </w:r>
    </w:p>
    <w:p>
      <w:pPr>
        <w:pStyle w:val="ListBullet"/>
        <w:ind w:left="360" w:hanging="360"/>
      </w:pPr>
      <w:r>
        <w:rPr>
          <w:rFonts w:ascii="Calibri" w:hAnsi="Calibri"/>
          <w:color w:val="525866"/>
          <w:sz w:val="22"/>
        </w:rPr>
        <w:t xml:space="preserve">April 30, 2026 — Q1 2026 earnings: Full-year guidance reaffirmed; quarterly dividend raised to $0.48 (+2.1%, fifth consecutive annual increase); share repurchase program expanded to $4B through 2031 (from $2B). </w:t>
      </w:r>
      <w:r>
        <w:rPr>
          <w:rFonts w:ascii="Calibri" w:hAnsi="Calibri"/>
          <w:b/>
          <w:color w:val="525866"/>
          <w:sz w:val="22"/>
        </w:rPr>
        <w:t xml:space="preserve">Implication: </w:t>
      </w:r>
      <w:r>
        <w:rPr>
          <w:rFonts w:ascii="Calibri" w:hAnsi="Calibri"/>
          <w:color w:val="525866"/>
          <w:sz w:val="22"/>
        </w:rPr>
        <w:t>Capital return signals management confidence in FCF durability despite earnings pressure. Buyback pace described as "ahead of a straight-line schedule."</w:t>
      </w:r>
    </w:p>
    <w:p>
      <w:pPr>
        <w:pStyle w:val="ListBullet"/>
        <w:ind w:left="360" w:hanging="360"/>
      </w:pPr>
      <w:r>
        <w:rPr>
          <w:rFonts w:ascii="Calibri" w:hAnsi="Calibri"/>
          <w:color w:val="525866"/>
          <w:sz w:val="22"/>
        </w:rPr>
        <w:t xml:space="preserve">Q2 2026 (ongoing) — World Cup and Americas 250th anniversary marketing activation. </w:t>
      </w:r>
      <w:r>
        <w:rPr>
          <w:rFonts w:ascii="Calibri" w:hAnsi="Calibri"/>
          <w:b/>
          <w:color w:val="525866"/>
          <w:sz w:val="22"/>
        </w:rPr>
        <w:t xml:space="preserve">Implication: </w:t>
      </w:r>
      <w:r>
        <w:rPr>
          <w:rFonts w:ascii="Calibri" w:hAnsi="Calibri"/>
          <w:color w:val="525866"/>
          <w:sz w:val="22"/>
        </w:rPr>
        <w:t>TAP's largest media investment in years; activating Coors Light, Miller Lite, Banquet, Topo Chico Hard, and Fever-Tree. Keystone Apple launched for summer with distributor orders "ahead of expectations." Keystone Ice relaunch announced for fall 2026. These are brand-building investments with uncertain near-term volume impact.</w:t>
      </w:r>
    </w:p>
    <w:p>
      <w:pPr>
        <w:pStyle w:val="ListBullet"/>
        <w:ind w:left="360" w:hanging="360"/>
      </w:pPr>
      <w:r>
        <w:rPr>
          <w:rFonts w:ascii="Calibri" w:hAnsi="Calibri"/>
          <w:color w:val="525866"/>
          <w:sz w:val="22"/>
        </w:rPr>
        <w:t xml:space="preserve">Q1 2026 (ongoing) — EMEA restructuring: Sharp's Brewery (UK) closure announced; additional EMEA cost actions. </w:t>
      </w:r>
      <w:r>
        <w:rPr>
          <w:rFonts w:ascii="Calibri" w:hAnsi="Calibri"/>
          <w:b/>
          <w:color w:val="525866"/>
          <w:sz w:val="22"/>
        </w:rPr>
        <w:t xml:space="preserve">Implication: </w:t>
      </w:r>
      <w:r>
        <w:rPr>
          <w:rFonts w:ascii="Calibri" w:hAnsi="Calibri"/>
          <w:color w:val="525866"/>
          <w:sz w:val="22"/>
        </w:rPr>
        <w:t>Part of the $450M three-year cost savings program. Restructuring charges will flow through reported (GAAP) results; underlying (non-GAAP) results exclude these. Savings expected to build through 2026–2028.</w:t>
      </w:r>
    </w:p>
    <w:p>
      <w:pPr>
        <w:pStyle w:val="ListBullet"/>
        <w:ind w:left="360" w:hanging="360"/>
      </w:pPr>
      <w:r>
        <w:rPr>
          <w:rFonts w:ascii="Calibri" w:hAnsi="Calibri"/>
          <w:color w:val="525866"/>
          <w:sz w:val="22"/>
        </w:rPr>
        <w:t xml:space="preserve">July 7, 2026 — TAP announced Q2 2026 earnings webcast date (August 6, 2026 pre-market). </w:t>
      </w:r>
      <w:r>
        <w:rPr>
          <w:rFonts w:ascii="Calibri" w:hAnsi="Calibri"/>
          <w:b/>
          <w:color w:val="525866"/>
          <w:sz w:val="22"/>
        </w:rPr>
        <w:t xml:space="preserve">Implication: </w:t>
      </w:r>
      <w:r>
        <w:rPr>
          <w:rFonts w:ascii="Calibri" w:hAnsi="Calibri"/>
          <w:color w:val="525866"/>
          <w:sz w:val="22"/>
        </w:rPr>
        <w:t>Routine administrative announcement; no guidance update or pre-announcement.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