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g-earnings-predictions--2026-08-04"/>
    <w:p>
      <w:pPr>
        <w:pStyle w:val="Heading1"/>
      </w:pPr>
      <w:r>
        <w:t xml:space="preserve">TDG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~$10.50 vs. cons $10.20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~$2.68B vs. cons $2.62B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As Defined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~$1.40B vs. cons $1.37B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~$39.90 vs. cons $39.60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~$10.45B vs. cons $10.40B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EBITDA As Defined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~$5.47B vs. cons $5.42B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 aftermarket organic growth (swing factor / 2027 tone)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~low-double-digit ~10% vs. cons ~8-9% (FY26); Middle East/fuel overhang keeps durability the key debate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deployment / special dividend &amp; M&amp;A (Stellant, Prince &amp; Izant into guide)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&gt;</w:t>
            </w:r>
            <m:oMath>
              <m:r>
                <m:t>10</m:t>
              </m:r>
              <m:r>
                <m:t>B</m:t>
              </m:r>
              <m:r>
                <m:t>f</m:t>
              </m:r>
              <m:r>
                <m:t>i</m:t>
              </m:r>
              <m:r>
                <m:t>r</m:t>
              </m:r>
              <m:r>
                <m:t>e</m:t>
              </m:r>
              <m:r>
                <m:t>p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905M YTD buyback at ~$1,207 avg; special-dividend optionality vs. cons no special div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Likely beat-and-raise, but TDG typically raises FY guide by roughly the amount of the beat, so implied H2/Q4 estimates are effectively left unchanged (an implicit out-period trim). With a full ~19x EV/EBITDA valuation, an ~8% pre-print rally off the late-July low, a tough 54.4% year-ago Q3 margin comp, and lingering Middle East/fuel-driven aftermarket-durability and 2027 questions, an initial pop tends to bleed off as revisions math and 'sell-the-news' dynamics reassert.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2026-08-04T01:13:49Z</dcterms:created>
  <dcterms:modified xsi:type="dcterms:W3CDTF">2026-08-04T01:13:49Z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