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TransDigm (TDG) before writing the preview. Let me gather recent transcripts, filings, news, and price data.Let me read the most recent earnings call transcript, the Q2 release, and the recent acquisition announcement.Let me pull the year-ago Q3 (2025Q3) release for the comp and check recent analyst/sector news.I have what I need. Let me do a couple of quick calculations for the implied Q3 setup and the stock move into the print.# TransDigm Group (TDG) — Fiscal Q3 2026 Earnings Preview</w:t>
      </w:r>
    </w:p>
    <w:bookmarkStart w:id="9" w:name="X6554d8535923e1e2a28dc5145c724b20bdba0c0"/>
    <w:p>
      <w:pPr>
        <w:pStyle w:val="Heading3"/>
      </w:pPr>
      <w:r>
        <w:t xml:space="preserve">Report date: Tuesday, August 4, 2026 (before open) | Quarter ended ~June 27, 2026</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TransDigm reports its first full quarter that captures the post-conflict Middle East environment, and after a busy stretch of dealmaking. The debate is narrow but important:</w:t>
      </w:r>
      <w:r>
        <w:t xml:space="preserve"> </w:t>
      </w:r>
      <w:r>
        <w:rPr>
          <w:b/>
          <w:bCs/>
        </w:rPr>
        <w:t xml:space="preserve">does the feared commercial-aftermarket slowdown finally show up, or does TDG's guide-and-beat cadence continue?</w:t>
      </w:r>
      <w:r>
        <w:t xml:space="preserve"> </w:t>
      </w:r>
      <w:r>
        <w:t xml:space="preserve">Everything else — margins, defense strength, capital deployment — is trending in TDG's favor.</w:t>
      </w:r>
    </w:p>
    <w:p>
      <w:r>
        <w:pict>
          <v:rect style="width:0;height:1.5pt" o:hralign="center" o:hrstd="t" o:hr="t"/>
        </w:pict>
      </w:r>
    </w:p>
    <w:bookmarkEnd w:id="10"/>
    <w:bookmarkStart w:id="11" w:name="stock-into-the-print"/>
    <w:p>
      <w:pPr>
        <w:pStyle w:val="Heading2"/>
      </w:pPr>
      <w:r>
        <w:t xml:space="preserve">Stock into the print</w:t>
      </w:r>
    </w:p>
    <w:p>
      <w:pPr>
        <w:pStyle w:val="Compact"/>
        <w:numPr>
          <w:ilvl w:val="0"/>
          <w:numId w:val="1001"/>
        </w:numPr>
      </w:pPr>
      <w:r>
        <w:t xml:space="preserve">TDG closed at</w:t>
      </w:r>
      <w:r>
        <w:t xml:space="preserve"> </w:t>
      </w:r>
      <w:r>
        <w:rPr>
          <w:b/>
          <w:bCs/>
        </w:rPr>
        <w:t xml:space="preserve">~</w:t>
      </w:r>
      <m:oMath>
        <m:r>
          <m:t>1</m:t>
        </m:r>
        <m:r>
          <m:rPr>
            <m:sty m:val="p"/>
          </m:rPr>
          <m:t>,</m:t>
        </m:r>
        <m:r>
          <m:t>286</m:t>
        </m:r>
        <m:r>
          <m:rPr>
            <m:sty m:val="p"/>
          </m:rPr>
          <m:t>*</m:t>
        </m:r>
        <m:r>
          <m:rPr>
            <m:sty m:val="p"/>
          </m:rPr>
          <m:t>*</m:t>
        </m:r>
        <m:r>
          <m:t>o</m:t>
        </m:r>
        <m:r>
          <m:t>n</m:t>
        </m:r>
        <m:r>
          <m:t>A</m:t>
        </m:r>
        <m:r>
          <m:t>u</m:t>
        </m:r>
        <m:r>
          <m:t>g</m:t>
        </m:r>
        <m:r>
          <m:t>3</m:t>
        </m:r>
        <m:r>
          <m:rPr>
            <m:sty m:val="p"/>
          </m:rPr>
          <m:t>,</m:t>
        </m:r>
        <m:r>
          <m:t>d</m:t>
        </m:r>
        <m:r>
          <m:t>o</m:t>
        </m:r>
        <m:r>
          <m:t>w</m:t>
        </m:r>
        <m:r>
          <m:t>n</m:t>
        </m:r>
        <m:r>
          <m:t>r</m:t>
        </m:r>
        <m:r>
          <m:t>o</m:t>
        </m:r>
        <m:r>
          <m:t>u</m:t>
        </m:r>
        <m:r>
          <m:t>g</m:t>
        </m:r>
        <m:r>
          <m:t>h</m:t>
        </m:r>
        <m:r>
          <m:t>l</m:t>
        </m:r>
        <m:r>
          <m:t>y</m:t>
        </m:r>
        <m:r>
          <m:rPr>
            <m:sty m:val="p"/>
          </m:rPr>
          <m:t>*</m:t>
        </m:r>
        <m:r>
          <m:rPr>
            <m:sty m:val="p"/>
          </m:rPr>
          <m:t>*</m:t>
        </m:r>
        <m:r>
          <m:t>10</m:t>
        </m:r>
      </m:oMath>
      <w:r>
        <w:rPr>
          <w:b/>
          <w:bCs/>
        </w:rPr>
        <w:t xml:space="preserve">1,436)</w:t>
      </w:r>
      <w:r>
        <w:t xml:space="preserve"> </w:t>
      </w:r>
      <w:r>
        <w:t xml:space="preserve">and a notable laggard versus aerospace peers this year (HEICO and GE Aerospace both up meaningfully over the same window).</w:t>
      </w:r>
    </w:p>
    <w:p>
      <w:pPr>
        <w:pStyle w:val="Compact"/>
        <w:numPr>
          <w:ilvl w:val="0"/>
          <w:numId w:val="1001"/>
        </w:numPr>
      </w:pPr>
      <w:r>
        <w:t xml:space="preserve">The stock sold off hard after the Q1 print in February, spent the spring range-bound (</w:t>
      </w:r>
      <m:oMath>
        <m:r>
          <m:t>1</m:t>
        </m:r>
        <m:r>
          <m:rPr>
            <m:sty m:val="p"/>
          </m:rPr>
          <m:t>,</m:t>
        </m:r>
        <m:r>
          <m:t>150</m:t>
        </m:r>
        <m:r>
          <m:rPr>
            <m:sty m:val="p"/>
          </m:rPr>
          <m:t>–</m:t>
        </m:r>
      </m:oMath>
      <w:r>
        <w:t xml:space="preserve">1,350), and has</w:t>
      </w:r>
      <w:r>
        <w:t xml:space="preserve"> </w:t>
      </w:r>
      <w:r>
        <w:rPr>
          <w:b/>
          <w:bCs/>
        </w:rPr>
        <w:t xml:space="preserve">rallied ~8% off its late-July low (~$1,195)</w:t>
      </w:r>
      <w:r>
        <w:t xml:space="preserve"> </w:t>
      </w:r>
      <w:r>
        <w:t xml:space="preserve">into this report — helped by the Prince &amp; Izant acquisition announcement and a strong broad-market tape.</w:t>
      </w:r>
    </w:p>
    <w:p>
      <w:pPr>
        <w:pStyle w:val="Compact"/>
        <w:numPr>
          <w:ilvl w:val="0"/>
          <w:numId w:val="1001"/>
        </w:numPr>
      </w:pPr>
      <w:r>
        <w:t xml:space="preserve">Valuation remains full at roughly</w:t>
      </w:r>
      <w:r>
        <w:t xml:space="preserve"> </w:t>
      </w:r>
      <w:r>
        <w:rPr>
          <w:b/>
          <w:bCs/>
        </w:rPr>
        <w:t xml:space="preserve">~19x EV/FY26 EBITDA As Defined</w:t>
      </w:r>
      <w:r>
        <w:t xml:space="preserve">, so the bar for a "beat-and-raise" is high; the market is conditioned to expect one.</w:t>
      </w:r>
    </w:p>
    <w:p>
      <w:r>
        <w:pict>
          <v:rect style="width:0;height:1.5pt" o:hralign="center" o:hrstd="t" o:hr="t"/>
        </w:pict>
      </w:r>
    </w:p>
    <w:bookmarkEnd w:id="11"/>
    <w:bookmarkStart w:id="12" w:name="X2cda0f62d3fd1c0f55bd19fe373a3787c07950c"/>
    <w:p>
      <w:pPr>
        <w:pStyle w:val="Heading2"/>
      </w:pPr>
      <w:r>
        <w:t xml:space="preserve">What management guided to (raised at Q2, May 5)</w:t>
      </w:r>
    </w:p>
    <w:p>
      <w:pPr>
        <w:pStyle w:val="FirstParagraph"/>
      </w:pPr>
      <w:r>
        <w:t xml:space="preserve">For FY2026 (excludes the pending Stellant deal):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FY26 Guide (midpoint)</w:t>
            </w:r>
          </w:p>
        </w:tc>
        <w:tc>
          <w:tcPr/>
          <w:p>
            <w:pPr>
              <w:pStyle w:val="Compact"/>
            </w:pPr>
            <w:r>
              <w:t xml:space="preserve">vs FY25</w:t>
            </w:r>
          </w:p>
        </w:tc>
      </w:tr>
      <w:tr>
        <w:tc>
          <w:tcPr/>
          <w:p>
            <w:pPr>
              <w:pStyle w:val="Compact"/>
            </w:pPr>
            <w:r>
              <w:t xml:space="preserve">Net sales</w:t>
            </w:r>
          </w:p>
        </w:tc>
        <w:tc>
          <w:tcPr/>
          <w:p>
            <w:pPr>
              <w:pStyle w:val="Compact"/>
            </w:pPr>
            <m:oMath>
              <m:r>
                <m:t>10.30</m:t>
              </m:r>
              <m:r>
                <m:rPr>
                  <m:sty m:val="p"/>
                </m:rPr>
                <m:t>–</m:t>
              </m:r>
              <m:r>
                <m:t>10.42</m:t>
              </m:r>
              <m:r>
                <m:t>B</m:t>
              </m:r>
              <m:r>
                <m:rPr>
                  <m:sty m:val="p"/>
                </m:rPr>
                <m:t>(</m:t>
              </m:r>
            </m:oMath>
            <w:r>
              <w:t xml:space="preserve">10.36B)</w:t>
            </w:r>
          </w:p>
        </w:tc>
        <w:tc>
          <w:tcPr/>
          <w:p>
            <w:pPr>
              <w:pStyle w:val="Compact"/>
            </w:pPr>
            <w:r>
              <w:t xml:space="preserve">+17%</w:t>
            </w:r>
          </w:p>
        </w:tc>
      </w:tr>
      <w:tr>
        <w:tc>
          <w:tcPr/>
          <w:p>
            <w:pPr>
              <w:pStyle w:val="Compact"/>
            </w:pPr>
            <w:r>
              <w:t xml:space="preserve">EBITDA As Defined</w:t>
            </w:r>
          </w:p>
        </w:tc>
        <w:tc>
          <w:tcPr/>
          <w:p>
            <w:pPr>
              <w:pStyle w:val="Compact"/>
            </w:pPr>
            <m:oMath>
              <m:r>
                <m:t>5.37</m:t>
              </m:r>
              <m:r>
                <m:rPr>
                  <m:sty m:val="p"/>
                </m:rPr>
                <m:t>–</m:t>
              </m:r>
              <m:r>
                <m:t>5.47</m:t>
              </m:r>
              <m:r>
                <m:t>B</m:t>
              </m:r>
              <m:r>
                <m:rPr>
                  <m:sty m:val="p"/>
                </m:rPr>
                <m:t>(</m:t>
              </m:r>
            </m:oMath>
            <w:r>
              <w:t xml:space="preserve">5.42B)</w:t>
            </w:r>
          </w:p>
        </w:tc>
        <w:tc>
          <w:tcPr/>
          <w:p>
            <w:pPr>
              <w:pStyle w:val="Compact"/>
            </w:pPr>
            <w:r>
              <w:t xml:space="preserve">+14%; ~52.3% margin</w:t>
            </w:r>
          </w:p>
        </w:tc>
      </w:tr>
      <w:tr>
        <w:tc>
          <w:tcPr/>
          <w:p>
            <w:pPr>
              <w:pStyle w:val="Compact"/>
            </w:pPr>
            <w:r>
              <w:t xml:space="preserve">Adjusted EPS</w:t>
            </w:r>
          </w:p>
        </w:tc>
        <w:tc>
          <w:tcPr/>
          <w:p>
            <w:pPr>
              <w:pStyle w:val="Compact"/>
            </w:pPr>
            <m:oMath>
              <m:r>
                <m:t>38.83</m:t>
              </m:r>
              <m:r>
                <m:rPr>
                  <m:sty m:val="p"/>
                </m:rPr>
                <m:t>–</m:t>
              </m:r>
              <m:r>
                <m:t>40.21</m:t>
              </m:r>
              <m:r>
                <m:rPr>
                  <m:sty m:val="p"/>
                </m:rPr>
                <m:t>(</m:t>
              </m:r>
            </m:oMath>
            <w:r>
              <w:t xml:space="preserve">39.52)</w:t>
            </w:r>
          </w:p>
        </w:tc>
        <w:tc>
          <w:tcPr/>
          <w:p>
            <w:pPr>
              <w:pStyle w:val="Compact"/>
            </w:pPr>
            <w:r>
              <w:t xml:space="preserve">+6%</w:t>
            </w:r>
          </w:p>
        </w:tc>
      </w:tr>
      <w:tr>
        <w:tc>
          <w:tcPr/>
          <w:p>
            <w:pPr>
              <w:pStyle w:val="Compact"/>
            </w:pPr>
            <w:r>
              <w:t xml:space="preserve">GAAP EPS</w:t>
            </w:r>
          </w:p>
        </w:tc>
        <w:tc>
          <w:tcPr/>
          <w:p>
            <w:pPr>
              <w:pStyle w:val="Compact"/>
            </w:pPr>
            <m:oMath>
              <m:r>
                <m:t>33.91</m:t>
              </m:r>
              <m:r>
                <m:rPr>
                  <m:sty m:val="p"/>
                </m:rPr>
                <m:t>–</m:t>
              </m:r>
              <m:r>
                <m:t>35.29</m:t>
              </m:r>
              <m:r>
                <m:rPr>
                  <m:sty m:val="p"/>
                </m:rPr>
                <m:t>(</m:t>
              </m:r>
            </m:oMath>
            <w:r>
              <w:t xml:space="preserve">34.60)</w:t>
            </w:r>
          </w:p>
        </w:tc>
        <w:tc>
          <w:tcPr/>
          <w:p>
            <w:pPr>
              <w:pStyle w:val="Compact"/>
            </w:pPr>
            <w:r>
              <w:t xml:space="preserve">+8%</w:t>
            </w:r>
          </w:p>
        </w:tc>
      </w:tr>
      <w:tr>
        <w:tc>
          <w:tcPr/>
          <w:p>
            <w:pPr>
              <w:pStyle w:val="Compact"/>
            </w:pPr>
            <w:r>
              <w:t xml:space="preserve">Free cash flow</w:t>
            </w:r>
          </w:p>
        </w:tc>
        <w:tc>
          <w:tcPr/>
          <w:p>
            <w:pPr>
              <w:pStyle w:val="Compact"/>
            </w:pPr>
            <w:r>
              <w:t xml:space="preserve">~$2.5B</w:t>
            </w:r>
          </w:p>
        </w:tc>
        <w:tc>
          <w:tcPr/>
          <w:p>
            <w:pPr>
              <w:pStyle w:val="Compact"/>
            </w:pPr>
            <w:r>
              <w:t xml:space="preserve">raised from $2.4B</w:t>
            </w:r>
          </w:p>
        </w:tc>
      </w:tr>
    </w:tbl>
    <w:p>
      <w:pPr>
        <w:pStyle w:val="BodyText"/>
      </w:pPr>
      <w:r>
        <w:t xml:space="preserve">Market-channel assumptions:</w:t>
      </w:r>
      <w:r>
        <w:t xml:space="preserve"> </w:t>
      </w:r>
      <w:r>
        <w:rPr>
          <w:b/>
          <w:bCs/>
        </w:rPr>
        <w:t xml:space="preserve">Commercial OEM low-double to mid-teens %, Commercial Aftermarket high-single to low-double %, Defense high-single %.</w:t>
      </w:r>
    </w:p>
    <w:p>
      <w:pPr>
        <w:pStyle w:val="BodyText"/>
      </w:pPr>
      <w:r>
        <w:rPr>
          <w:b/>
          <w:bCs/>
        </w:rPr>
        <w:t xml:space="preserve">Implied second half (Q3+Q4):</w:t>
      </w:r>
      <w:r>
        <w:t xml:space="preserve"> </w:t>
      </w:r>
      <w:r>
        <w:t xml:space="preserve">~</w:t>
      </w:r>
      <m:oMath>
        <m:r>
          <m:t>5.53</m:t>
        </m:r>
        <m:r>
          <m:t>B</m:t>
        </m:r>
        <m:r>
          <m:t>r</m:t>
        </m:r>
        <m:r>
          <m:t>e</m:t>
        </m:r>
        <m:r>
          <m:t>v</m:t>
        </m:r>
        <m:r>
          <m:t>e</m:t>
        </m:r>
        <m:r>
          <m:t>n</m:t>
        </m:r>
        <m:r>
          <m:t>u</m:t>
        </m:r>
        <m:r>
          <m:t>e</m:t>
        </m:r>
        <m:r>
          <m:rPr>
            <m:sty m:val="p"/>
          </m:rPr>
          <m:t>,</m:t>
        </m:r>
        <m:r>
          <m:t> </m:t>
        </m:r>
      </m:oMath>
      <w:r>
        <w:t xml:space="preserve">2.89B EBITDA As Defined (~52.2% margin), ~$21.43 adjusted EPS. Splitting seasonally, a "guide-consistent"</w:t>
      </w:r>
      <w:r>
        <w:t xml:space="preserve"> </w:t>
      </w:r>
      <w:r>
        <w:rPr>
          <w:b/>
          <w:bCs/>
        </w:rPr>
        <w:t xml:space="preserve">Q3 lands around</w:t>
      </w:r>
      <w:r>
        <w:rPr>
          <w:b/>
          <w:bCs/>
        </w:rPr>
        <w:t xml:space="preserve"> </w:t>
      </w:r>
      <m:oMath>
        <m:r>
          <m:t>2.65</m:t>
        </m:r>
        <m:r>
          <m:rPr>
            <m:sty m:val="p"/>
          </m:rPr>
          <m:t>–</m:t>
        </m:r>
        <m:r>
          <m:t>2.75</m:t>
        </m:r>
        <m:r>
          <m:t>B</m:t>
        </m:r>
        <m:r>
          <m:t>i</m:t>
        </m:r>
        <m:r>
          <m:t>n</m:t>
        </m:r>
        <m:r>
          <m:t>r</m:t>
        </m:r>
        <m:r>
          <m:t>e</m:t>
        </m:r>
        <m:r>
          <m:t>v</m:t>
        </m:r>
        <m:r>
          <m:t>e</m:t>
        </m:r>
        <m:r>
          <m:t>n</m:t>
        </m:r>
        <m:r>
          <m:t>u</m:t>
        </m:r>
        <m:r>
          <m:t>e</m:t>
        </m:r>
        <m:r>
          <m:rPr>
            <m:sty m:val="p"/>
          </m:rPr>
          <m:t>(</m:t>
        </m:r>
        <m:r>
          <m:t> </m:t>
        </m:r>
        <m:r>
          <m:rPr>
            <m:sty m:val="p"/>
          </m:rPr>
          <m:t>+</m:t>
        </m:r>
        <m:r>
          <m:t>19</m:t>
        </m:r>
        <m:r>
          <m:rPr>
            <m:sty m:val="p"/>
          </m:rPr>
          <m:t>–</m:t>
        </m:r>
        <m:r>
          <m:t>24</m:t>
        </m:r>
      </m:oMath>
      <w:r>
        <w:rPr>
          <w:b/>
          <w:bCs/>
        </w:rPr>
        <w:t xml:space="preserve">10.30–10.70 adjusted EPS</w:t>
      </w:r>
      <w:r>
        <w:t xml:space="preserve">, versus the year-ago Q3 of $2,237M revenue, $1,217M EBITDA As Defined (54.4% margin), and $9.60 adjusted EPS. Note the year-over-year margin comparison is a tough one — Q3 FY25 was a seasonally strong 54.4%.</w:t>
      </w:r>
    </w:p>
    <w:p>
      <w:r>
        <w:pict>
          <v:rect style="width:0;height:1.5pt" o:hralign="center" o:hrstd="t" o:hr="t"/>
        </w:pict>
      </w:r>
    </w:p>
    <w:bookmarkEnd w:id="12"/>
    <w:bookmarkStart w:id="13" w:name="Xf2653d4215089be1c6a1f38e3b470bf47be922f"/>
    <w:p>
      <w:pPr>
        <w:pStyle w:val="Heading2"/>
      </w:pPr>
      <w:r>
        <w:t xml:space="preserve">The swing factor: commercial aftermarket + the Middle East</w:t>
      </w:r>
    </w:p>
    <w:p>
      <w:pPr>
        <w:pStyle w:val="FirstParagraph"/>
      </w:pPr>
      <w:r>
        <w:t xml:space="preserve">This is the whole story. On the Q2 call, management repeatedly flagged that the conflict in the Middle East had pushed up oil/jet-fuel prices and slowed global traffic, but</w:t>
      </w:r>
      <w:r>
        <w:t xml:space="preserve"> </w:t>
      </w:r>
      <w:r>
        <w:rPr>
          <w:b/>
          <w:bCs/>
        </w:rPr>
        <w:t xml:space="preserve">stressed they had "not seen a significant change" in aftermarket ordering through April</w:t>
      </w:r>
      <w:r>
        <w:t xml:space="preserve">, even from the most-affected Gulf carriers. They raised aftermarket guidance anyway on the strength of record Q2 CAM bookings and double-digit distributor point-of-sale.</w:t>
      </w:r>
    </w:p>
    <w:p>
      <w:pPr>
        <w:pStyle w:val="BodyText"/>
      </w:pPr>
      <w:r>
        <w:t xml:space="preserve">Why Q3 matters: management noted</w:t>
      </w:r>
      <w:r>
        <w:t xml:space="preserve"> </w:t>
      </w:r>
      <w:r>
        <w:rPr>
          <w:b/>
          <w:bCs/>
        </w:rPr>
        <w:t xml:space="preserve">~half of CAM ships in the same quarter it's booked</w:t>
      </w:r>
      <w:r>
        <w:t xml:space="preserve">, and that any traffic hit "will lag a bit." Q3 (April–June) is the first quarter to fully reflect the disrupted demand environment. External signposts since then are mixed-to-cautious:</w:t>
      </w:r>
    </w:p>
    <w:p>
      <w:pPr>
        <w:pStyle w:val="Compact"/>
        <w:numPr>
          <w:ilvl w:val="0"/>
          <w:numId w:val="1002"/>
        </w:numPr>
      </w:pPr>
      <w:r>
        <w:t xml:space="preserve">Middle East carrier RPKs were down 50%+; IAG has</w:t>
      </w:r>
      <w:r>
        <w:t xml:space="preserve"> </w:t>
      </w:r>
      <w:r>
        <w:rPr>
          <w:b/>
          <w:bCs/>
        </w:rPr>
        <w:t xml:space="preserve">flattened capacity growth</w:t>
      </w:r>
      <w:r>
        <w:t xml:space="preserve">, cutting Africa/Middle East/Asia flying while redeploying elsewhere.</w:t>
      </w:r>
    </w:p>
    <w:p>
      <w:pPr>
        <w:pStyle w:val="Compact"/>
        <w:numPr>
          <w:ilvl w:val="0"/>
          <w:numId w:val="1002"/>
        </w:numPr>
      </w:pPr>
      <w:r>
        <w:t xml:space="preserve">Gas prices above $4/gal and elevated oil persist, keeping the fuel-cost overhang alive.</w:t>
      </w:r>
    </w:p>
    <w:p>
      <w:pPr>
        <w:pStyle w:val="FirstParagraph"/>
      </w:pPr>
      <w:r>
        <w:rPr>
          <w:b/>
          <w:bCs/>
        </w:rPr>
        <w:t xml:space="preserve">Watch:</w:t>
      </w:r>
      <w:r>
        <w:t xml:space="preserve"> </w:t>
      </w:r>
      <w:r>
        <w:t xml:space="preserve">the Q3 CAM growth rate and (critically)</w:t>
      </w:r>
      <w:r>
        <w:t xml:space="preserve"> </w:t>
      </w:r>
      <w:r>
        <w:rPr>
          <w:b/>
          <w:bCs/>
        </w:rPr>
        <w:t xml:space="preserve">bookings/book-to-bill and distributor POS</w:t>
      </w:r>
      <w:r>
        <w:t xml:space="preserve">. If bookings stay strong and CAM holds double digits, the bear case on a 2027 aftermarket rollover weakens. Recall TDG's aftermarket has been running ~5–6 points below peers due to distribution mix and lighter engine exposure — management said the destocking headwind is now largely behind them and should turn into a modest tailwind.</w:t>
      </w:r>
    </w:p>
    <w:p>
      <w:r>
        <w:pict>
          <v:rect style="width:0;height:1.5pt" o:hralign="center" o:hrstd="t" o:hr="t"/>
        </w:pict>
      </w:r>
    </w:p>
    <w:bookmarkEnd w:id="13"/>
    <w:bookmarkStart w:id="14" w:name="other-end-markets"/>
    <w:p>
      <w:pPr>
        <w:pStyle w:val="Heading2"/>
      </w:pPr>
      <w:r>
        <w:t xml:space="preserve">Other end markets</w:t>
      </w:r>
    </w:p>
    <w:p>
      <w:pPr>
        <w:pStyle w:val="Compact"/>
        <w:numPr>
          <w:ilvl w:val="0"/>
          <w:numId w:val="1003"/>
        </w:numPr>
      </w:pPr>
      <w:r>
        <w:rPr>
          <w:b/>
          <w:bCs/>
        </w:rPr>
        <w:t xml:space="preserve">Commercial OEM:</w:t>
      </w:r>
      <w:r>
        <w:t xml:space="preserve"> </w:t>
      </w:r>
      <w:r>
        <w:t xml:space="preserve">Strongest recent momentum — transport OEM revenue was up ~19% in Q2 with bookings up ~20%, tracking Boeing/Airbus rate increases. The FAA's just-granted</w:t>
      </w:r>
      <w:r>
        <w:t xml:space="preserve"> </w:t>
      </w:r>
      <w:r>
        <w:rPr>
          <w:b/>
          <w:bCs/>
        </w:rPr>
        <w:t xml:space="preserve">737 MAX 7 certification</w:t>
      </w:r>
      <w:r>
        <w:t xml:space="preserve"> </w:t>
      </w:r>
      <w:r>
        <w:t xml:space="preserve">is an incremental positive for the rate ramp. Watch whether the OEM recovery stays "bumpy."</w:t>
      </w:r>
    </w:p>
    <w:p>
      <w:pPr>
        <w:pStyle w:val="Compact"/>
        <w:numPr>
          <w:ilvl w:val="0"/>
          <w:numId w:val="1003"/>
        </w:numPr>
      </w:pPr>
      <w:r>
        <w:rPr>
          <w:b/>
          <w:bCs/>
        </w:rPr>
        <w:t xml:space="preserve">Defense:</w:t>
      </w:r>
      <w:r>
        <w:t xml:space="preserve"> </w:t>
      </w:r>
      <w:r>
        <w:t xml:space="preserve">Double-digit revenue growth in Q2 with backlog build; guidance is high-single-digit for the year (lumpy quarter-to-quarter). A strong global defense-spending backdrop is a tailwind, and TDG has been buying defense-levered assets (Stellant, Simmonds).</w:t>
      </w:r>
    </w:p>
    <w:p>
      <w:r>
        <w:pict>
          <v:rect style="width:0;height:1.5pt" o:hralign="center" o:hrstd="t" o:hr="t"/>
        </w:pict>
      </w:r>
    </w:p>
    <w:bookmarkEnd w:id="14"/>
    <w:bookmarkStart w:id="15" w:name="margins"/>
    <w:p>
      <w:pPr>
        <w:pStyle w:val="Heading2"/>
      </w:pPr>
      <w:r>
        <w:t xml:space="preserve">Margins</w:t>
      </w:r>
    </w:p>
    <w:p>
      <w:pPr>
        <w:pStyle w:val="FirstParagraph"/>
      </w:pPr>
      <w:r>
        <w:t xml:space="preserve">Reported EBITDA-As-Defined margin has been running</w:t>
      </w:r>
      <w:r>
        <w:t xml:space="preserve"> </w:t>
      </w:r>
      <w:r>
        <w:rPr>
          <w:b/>
          <w:bCs/>
        </w:rPr>
        <w:t xml:space="preserve">~52–53%</w:t>
      </w:r>
      <w:r>
        <w:t xml:space="preserve">, diluted by ~200 bps from recent acquisitions (Servotronics, Simmonds, Jet Parts, Victor Sierra) plus ~50–100 bps of OEM/defense mix. Management frames the underlying algorithm as</w:t>
      </w:r>
      <w:r>
        <w:t xml:space="preserve"> </w:t>
      </w:r>
      <w:r>
        <w:rPr>
          <w:b/>
          <w:bCs/>
        </w:rPr>
        <w:t xml:space="preserve">+1 to +1.5 pts of same-store margin expansion</w:t>
      </w:r>
      <w:r>
        <w:t xml:space="preserve">, temporarily masked by acquisition dilution. Servotronics and Simmonds integration are reportedly running "slightly ahead." Watch for the base-business margin trajectory commentary and any 2027 framing.</w:t>
      </w:r>
    </w:p>
    <w:p>
      <w:r>
        <w:pict>
          <v:rect style="width:0;height:1.5pt" o:hralign="center" o:hrstd="t" o:hr="t"/>
        </w:pict>
      </w:r>
    </w:p>
    <w:bookmarkEnd w:id="15"/>
    <w:bookmarkStart w:id="16" w:name="Xfaa59dff8cbbe7279cf29575b36ac406aa8bc67"/>
    <w:p>
      <w:pPr>
        <w:pStyle w:val="Heading2"/>
      </w:pPr>
      <w:r>
        <w:t xml:space="preserve">Capital allocation — the real recent news flow</w:t>
      </w:r>
    </w:p>
    <w:p>
      <w:pPr>
        <w:pStyle w:val="FirstParagraph"/>
      </w:pPr>
      <w:r>
        <w:t xml:space="preserve">TDG has been unusually active on M&amp;A, and this is arguably a bigger near-term value driver than the quarterly EPS:</w:t>
      </w:r>
    </w:p>
    <w:p>
      <w:pPr>
        <w:pStyle w:val="Compact"/>
        <w:numPr>
          <w:ilvl w:val="0"/>
          <w:numId w:val="1004"/>
        </w:numPr>
      </w:pPr>
      <w:r>
        <w:rPr>
          <w:b/>
          <w:bCs/>
        </w:rPr>
        <w:t xml:space="preserve">Jet Parts Engineering + Victor Sierra</w:t>
      </w:r>
      <w:r>
        <w:t xml:space="preserve"> </w:t>
      </w:r>
      <w:r>
        <w:t xml:space="preserve">— closed April 7 for $2.2B (PMA/aftermarket parts); first full quarter in these Q3 numbers.</w:t>
      </w:r>
    </w:p>
    <w:p>
      <w:pPr>
        <w:pStyle w:val="Compact"/>
        <w:numPr>
          <w:ilvl w:val="0"/>
          <w:numId w:val="1004"/>
        </w:numPr>
      </w:pPr>
      <w:r>
        <w:rPr>
          <w:b/>
          <w:bCs/>
        </w:rPr>
        <w:t xml:space="preserve">Stellant Systems</w:t>
      </w:r>
      <w:r>
        <w:t xml:space="preserve"> </w:t>
      </w:r>
      <w:r>
        <w:t xml:space="preserve">— pending, ~$960M (high-power electronics for A&amp;D); excluded from guidance until close.</w:t>
      </w:r>
    </w:p>
    <w:p>
      <w:pPr>
        <w:pStyle w:val="Compact"/>
        <w:numPr>
          <w:ilvl w:val="0"/>
          <w:numId w:val="1004"/>
        </w:numPr>
      </w:pPr>
      <w:r>
        <w:rPr>
          <w:b/>
          <w:bCs/>
        </w:rPr>
        <w:t xml:space="preserve">Prince &amp; Izant</w:t>
      </w:r>
      <w:r>
        <w:t xml:space="preserve"> </w:t>
      </w:r>
      <w:r>
        <w:t xml:space="preserve">— announced **July 27 for ~</w:t>
      </w:r>
      <m:oMath>
        <m:r>
          <m:t>1.066</m:t>
        </m:r>
        <m:r>
          <m:t>B</m:t>
        </m:r>
        <m:r>
          <m:rPr>
            <m:sty m:val="p"/>
          </m:rPr>
          <m:t>*</m:t>
        </m:r>
        <m:r>
          <m:rPr>
            <m:sty m:val="p"/>
          </m:rPr>
          <m:t>*</m:t>
        </m:r>
        <m:r>
          <m:rPr>
            <m:sty m:val="p"/>
          </m:rPr>
          <m:t>(</m:t>
        </m:r>
        <m:r>
          <m:t>b</m:t>
        </m:r>
        <m:r>
          <m:t>r</m:t>
        </m:r>
        <m:r>
          <m:t>a</m:t>
        </m:r>
        <m:r>
          <m:t>z</m:t>
        </m:r>
        <m:r>
          <m:t>i</m:t>
        </m:r>
        <m:r>
          <m:t>n</m:t>
        </m:r>
        <m:r>
          <m:t>g</m:t>
        </m:r>
        <m:r>
          <m:t>a</m:t>
        </m:r>
        <m:r>
          <m:t>l</m:t>
        </m:r>
        <m:r>
          <m:t>l</m:t>
        </m:r>
        <m:r>
          <m:t>o</m:t>
        </m:r>
        <m:r>
          <m:t>y</m:t>
        </m:r>
        <m:r>
          <m:t>s</m:t>
        </m:r>
        <m:r>
          <m:rPr>
            <m:sty m:val="p"/>
          </m:rPr>
          <m:t>/</m:t>
        </m:r>
        <m:r>
          <m:t>s</m:t>
        </m:r>
        <m:r>
          <m:t>p</m:t>
        </m:r>
        <m:r>
          <m:t>e</m:t>
        </m:r>
        <m:r>
          <m:t>c</m:t>
        </m:r>
        <m:r>
          <m:t>i</m:t>
        </m:r>
        <m:r>
          <m:t>a</m:t>
        </m:r>
        <m:r>
          <m:t>l</m:t>
        </m:r>
        <m:r>
          <m:t>t</m:t>
        </m:r>
        <m:r>
          <m:t>y</m:t>
        </m:r>
        <m:r>
          <m:t>m</m:t>
        </m:r>
        <m:r>
          <m:t>e</m:t>
        </m:r>
        <m:r>
          <m:t>t</m:t>
        </m:r>
        <m:r>
          <m:t>a</m:t>
        </m:r>
        <m:r>
          <m:t>l</m:t>
        </m:r>
        <m:r>
          <m:t>s</m:t>
        </m:r>
        <m:r>
          <m:rPr>
            <m:sty m:val="p"/>
          </m:rPr>
          <m:t>,</m:t>
        </m:r>
        <m:r>
          <m:t>m</m:t>
        </m:r>
        <m:r>
          <m:t>a</m:t>
        </m:r>
        <m:r>
          <m:t>j</m:t>
        </m:r>
        <m:r>
          <m:t>o</m:t>
        </m:r>
        <m:r>
          <m:t>r</m:t>
        </m:r>
        <m:r>
          <m:t>i</m:t>
        </m:r>
        <m:r>
          <m:t>t</m:t>
        </m:r>
        <m:r>
          <m:t>y</m:t>
        </m:r>
        <m:r>
          <m:rPr>
            <m:sty m:val="p"/>
          </m:rPr>
          <m:t>−</m:t>
        </m:r>
        <m:r>
          <m:t>a</m:t>
        </m:r>
        <m:r>
          <m:t>f</m:t>
        </m:r>
        <m:r>
          <m:t>t</m:t>
        </m:r>
        <m:r>
          <m:t>e</m:t>
        </m:r>
        <m:r>
          <m:t>r</m:t>
        </m:r>
        <m:r>
          <m:t>m</m:t>
        </m:r>
        <m:r>
          <m:t>a</m:t>
        </m:r>
        <m:r>
          <m:t>r</m:t>
        </m:r>
        <m:r>
          <m:t>k</m:t>
        </m:r>
        <m:r>
          <m:t>e</m:t>
        </m:r>
        <m:r>
          <m:t>t</m:t>
        </m:r>
        <m:r>
          <m:rPr>
            <m:sty m:val="p"/>
          </m:rPr>
          <m:t>,</m:t>
        </m:r>
        <m:r>
          <m:t> </m:t>
        </m:r>
      </m:oMath>
      <w:r>
        <w:t xml:space="preserve">360M CY26 revenue); regulatory approvals pending.</w:t>
      </w:r>
    </w:p>
    <w:p>
      <w:pPr>
        <w:pStyle w:val="Compact"/>
        <w:numPr>
          <w:ilvl w:val="0"/>
          <w:numId w:val="1004"/>
        </w:numPr>
      </w:pPr>
      <w:r>
        <w:t xml:space="preserve">Governance: added</w:t>
      </w:r>
      <w:r>
        <w:t xml:space="preserve"> </w:t>
      </w:r>
      <w:r>
        <w:rPr>
          <w:b/>
          <w:bCs/>
        </w:rPr>
        <w:t xml:space="preserve">Stellex Capital's Krasik to the board</w:t>
      </w:r>
      <w:r>
        <w:t xml:space="preserve"> </w:t>
      </w:r>
      <w:r>
        <w:t xml:space="preserve">(July 24).</w:t>
      </w:r>
    </w:p>
    <w:p>
      <w:pPr>
        <w:pStyle w:val="Compact"/>
        <w:numPr>
          <w:ilvl w:val="0"/>
          <w:numId w:val="1004"/>
        </w:numPr>
      </w:pPr>
      <w:r>
        <w:rPr>
          <w:b/>
          <w:bCs/>
        </w:rPr>
        <w:t xml:space="preserve">Buybacks:</w:t>
      </w:r>
      <w:r>
        <w:t xml:space="preserve"> </w:t>
      </w:r>
      <w:r>
        <w:t xml:space="preserve">~</w:t>
      </w:r>
      <m:oMath>
        <m:r>
          <m:t>905</m:t>
        </m:r>
        <m:r>
          <m:t>M</m:t>
        </m:r>
        <m:r>
          <m:t>r</m:t>
        </m:r>
        <m:r>
          <m:t>e</m:t>
        </m:r>
        <m:r>
          <m:t>p</m:t>
        </m:r>
        <m:r>
          <m:t>u</m:t>
        </m:r>
        <m:r>
          <m:t>r</m:t>
        </m:r>
        <m:r>
          <m:t>c</m:t>
        </m:r>
        <m:r>
          <m:t>h</m:t>
        </m:r>
        <m:r>
          <m:t>a</m:t>
        </m:r>
        <m:r>
          <m:t>s</m:t>
        </m:r>
        <m:r>
          <m:t>e</m:t>
        </m:r>
        <m:r>
          <m:t>d</m:t>
        </m:r>
        <m:r>
          <m:t>Y</m:t>
        </m:r>
        <m:r>
          <m:t>T</m:t>
        </m:r>
        <m:r>
          <m:t>D</m:t>
        </m:r>
        <m:r>
          <m:t>a</m:t>
        </m:r>
        <m:r>
          <m:t>t</m:t>
        </m:r>
        <m:r>
          <m:t>a</m:t>
        </m:r>
        <m:r>
          <m:t>v</m:t>
        </m:r>
        <m:r>
          <m:t>g</m:t>
        </m:r>
        <m:r>
          <m:t> </m:t>
        </m:r>
      </m:oMath>
      <w:r>
        <w:t xml:space="preserve">1,207/share; management explicitly signaled willingness to keep buying and/or pay special dividends.</w:t>
      </w:r>
    </w:p>
    <w:p>
      <w:pPr>
        <w:pStyle w:val="Compact"/>
        <w:numPr>
          <w:ilvl w:val="0"/>
          <w:numId w:val="1004"/>
        </w:numPr>
      </w:pPr>
      <w:r>
        <w:t xml:space="preserve">Management flagged</w:t>
      </w:r>
      <w:r>
        <w:t xml:space="preserve"> </w:t>
      </w:r>
      <w:r>
        <w:rPr>
          <w:b/>
          <w:bCs/>
        </w:rPr>
        <w:t xml:space="preserve">&gt;$10B of M&amp;A firepower</w:t>
      </w:r>
      <w:r>
        <w:t xml:space="preserve"> </w:t>
      </w:r>
      <w:r>
        <w:t xml:space="preserve">even pro forma for announced deals.</w:t>
      </w:r>
    </w:p>
    <w:p>
      <w:pPr>
        <w:pStyle w:val="FirstParagraph"/>
      </w:pPr>
      <w:r>
        <w:rPr>
          <w:b/>
          <w:bCs/>
        </w:rPr>
        <w:t xml:space="preserve">Watch:</w:t>
      </w:r>
      <w:r>
        <w:t xml:space="preserve"> </w:t>
      </w:r>
      <w:r>
        <w:t xml:space="preserve">commentary on the M&amp;A pipeline, whether Stellant/Prince &amp; Izant get folded into guidance, and any hint of a</w:t>
      </w:r>
      <w:r>
        <w:t xml:space="preserve"> </w:t>
      </w:r>
      <w:r>
        <w:rPr>
          <w:b/>
          <w:bCs/>
        </w:rPr>
        <w:t xml:space="preserve">special dividend</w:t>
      </w:r>
      <w:r>
        <w:t xml:space="preserve"> </w:t>
      </w:r>
      <w:r>
        <w:t xml:space="preserve">(TDG's history) given the large cash balance and elevated stock levels making buybacks less attractive.</w:t>
      </w:r>
    </w:p>
    <w:p>
      <w:r>
        <w:pict>
          <v:rect style="width:0;height:1.5pt" o:hralign="center" o:hrstd="t" o:hr="t"/>
        </w:pict>
      </w:r>
    </w:p>
    <w:bookmarkEnd w:id="16"/>
    <w:bookmarkStart w:id="17" w:name="balance-sheet--financing"/>
    <w:p>
      <w:pPr>
        <w:pStyle w:val="Heading2"/>
      </w:pPr>
      <w:r>
        <w:t xml:space="preserve">Balance sheet / financing</w:t>
      </w:r>
    </w:p>
    <w:p>
      <w:pPr>
        <w:pStyle w:val="Compact"/>
        <w:numPr>
          <w:ilvl w:val="0"/>
          <w:numId w:val="1005"/>
        </w:numPr>
      </w:pPr>
      <w:r>
        <w:t xml:space="preserve">Net debt/EBITDA ~</w:t>
      </w:r>
      <w:r>
        <w:rPr>
          <w:b/>
          <w:bCs/>
        </w:rPr>
        <w:t xml:space="preserve">5.6x</w:t>
      </w:r>
      <w:r>
        <w:t xml:space="preserve"> </w:t>
      </w:r>
      <w:r>
        <w:t xml:space="preserve">(5.9x pro forma for closed deals), within the stated 5–7x target.</w:t>
      </w:r>
    </w:p>
    <w:p>
      <w:pPr>
        <w:pStyle w:val="Compact"/>
        <w:numPr>
          <w:ilvl w:val="0"/>
          <w:numId w:val="1005"/>
        </w:numPr>
      </w:pPr>
      <w:r>
        <w:t xml:space="preserve">Gross debt ~$33.7B; ~75% fixed through FY29; interest coverage ~3x.</w:t>
      </w:r>
    </w:p>
    <w:p>
      <w:pPr>
        <w:pStyle w:val="Compact"/>
        <w:numPr>
          <w:ilvl w:val="0"/>
          <w:numId w:val="1005"/>
        </w:numPr>
      </w:pPr>
      <w:r>
        <w:rPr>
          <w:b/>
          <w:bCs/>
        </w:rPr>
        <w:t xml:space="preserve">Interest expense is the key drag on GAAP EPS</w:t>
      </w:r>
      <w:r>
        <w:t xml:space="preserve"> </w:t>
      </w:r>
      <w:r>
        <w:t xml:space="preserve">— despite strong EBITDA growth, FY26 GAAP net income is guided roughly flat YoY because of higher interest from the 6.125% notes and term loans raised for acquisitions. Expect the same dynamic (strong EBITDA, muted GAAP net income growth) in Q3.</w:t>
      </w:r>
    </w:p>
    <w:p>
      <w:r>
        <w:pict>
          <v:rect style="width:0;height:1.5pt" o:hralign="center" o:hrstd="t" o:hr="t"/>
        </w:pict>
      </w:r>
    </w:p>
    <w:bookmarkEnd w:id="17"/>
    <w:bookmarkStart w:id="18" w:name="what-could-move-the-stock"/>
    <w:p>
      <w:pPr>
        <w:pStyle w:val="Heading2"/>
      </w:pPr>
      <w:r>
        <w:t xml:space="preserve">What could move the stock</w:t>
      </w:r>
    </w:p>
    <w:p>
      <w:pPr>
        <w:pStyle w:val="FirstParagraph"/>
      </w:pPr>
      <w:r>
        <w:rPr>
          <w:b/>
          <w:bCs/>
        </w:rPr>
        <w:t xml:space="preserve">Bullish triggers:</w:t>
      </w:r>
      <w:r>
        <w:t xml:space="preserve"> </w:t>
      </w:r>
      <w:r>
        <w:t xml:space="preserve">another guidance raise; CAM bookings/POS holding double-digit despite the Middle East; Stellant/Prince &amp; Izant added to the outlook; a special dividend.</w:t>
      </w:r>
    </w:p>
    <w:p>
      <w:pPr>
        <w:pStyle w:val="BodyText"/>
      </w:pPr>
      <w:r>
        <w:rPr>
          <w:b/>
          <w:bCs/>
        </w:rPr>
        <w:t xml:space="preserve">Bearish triggers:</w:t>
      </w:r>
      <w:r>
        <w:t xml:space="preserve"> </w:t>
      </w:r>
      <w:r>
        <w:t xml:space="preserve">any deceleration in aftermarket ordering or a cautious tone on 2027; margin miss vs the tough 54.4% year-ago Q3 comp; OEM rate disappointment; simply "in-line" results given the premium valuation and the ~8% pre-print rally.</w:t>
      </w:r>
    </w:p>
    <w:bookmarkEnd w:id="18"/>
    <w:bookmarkStart w:id="19" w:name="bottom-line"/>
    <w:p>
      <w:pPr>
        <w:pStyle w:val="Heading2"/>
      </w:pPr>
      <w:r>
        <w:t xml:space="preserve">Bottom line</w:t>
      </w:r>
    </w:p>
    <w:p>
      <w:pPr>
        <w:pStyle w:val="FirstParagraph"/>
      </w:pPr>
      <w:r>
        <w:t xml:space="preserve">TransDigm enters this print with strong OEM/defense momentum, an aftermarket that has so far shrugged off the Middle East disruption, robust margins, and an aggressive M&amp;A/capital-return posture — but a lagging stock and a demanding valuation. The report will be judged less on the (likely solid) headline beat and more on</w:t>
      </w:r>
      <w:r>
        <w:t xml:space="preserve"> </w:t>
      </w:r>
      <w:r>
        <w:rPr>
          <w:b/>
          <w:bCs/>
        </w:rPr>
        <w:t xml:space="preserve">aftermarket bookings durability and management's tone on the fuel-price/traffic overhang heading into 2027</w:t>
      </w:r>
      <w:r>
        <w:t xml:space="preserve">, plus whether they raise guidance and deploy their &gt;$10B of dry powder.</w:t>
      </w:r>
    </w:p>
    <w:p>
      <w:pPr>
        <w:pStyle w:val="BodyText"/>
      </w:pPr>
      <w:r>
        <w:rPr>
          <w:i/>
          <w:iCs/>
        </w:rPr>
        <w:t xml:space="preserve">Note: figures and management commentary above are drawn from TDG's Q2 FY26 earnings release/call (May 5, 2026), the Q3 FY25 release (Aug 5, 2025), and July 2026 acquisition/8-K disclosures. Q3 estimates are illustrative, derived from management's own full-year guidance less reported first-half results, not published consensus.</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2026-08-04T01:13:48Z</dcterms:created>
  <dcterms:modified xsi:type="dcterms:W3CDTF">2026-08-04T01:13:48Z</dcterms:modified>
</cp:coreProperties>
</file>

<file path=docProps/custom.xml><?xml version="1.0" encoding="utf-8"?>
<Properties xmlns="http://schemas.openxmlformats.org/officeDocument/2006/custom-properties" xmlns:vt="http://schemas.openxmlformats.org/officeDocument/2006/docPropsVTypes"/>
</file>