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g-earnings-predictions--2026-08-04"/>
    <w:p>
      <w:pPr>
        <w:pStyle w:val="Heading1"/>
      </w:pPr>
      <w:r>
        <w:t xml:space="preserve">TDG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10.15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(Revenue)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2.72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As Defined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~52.7% vs. cons ~52.4%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39.80</m:t>
              </m:r>
              <m:r>
                <m:rPr>
                  <m:sty m:val="p"/>
                </m:rPr>
                <m:t>−</m:t>
              </m:r>
            </m:oMath>
            <w:r>
              <w:t xml:space="preserve">41.20 (mid ~</w:t>
            </w:r>
            <m:oMath>
              <m:r>
                <m:t>40.50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39.80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</m:t>
              </m:r>
              <m:r>
                <m:rPr>
                  <m:sty m:val="p"/>
                </m:rPr>
                <m:t>,</m:t>
              </m:r>
              <m:r>
                <m:t>400</m:t>
              </m:r>
              <m:r>
                <m:rPr>
                  <m:sty m:val="p"/>
                </m:rPr>
                <m:t>−</m:t>
              </m:r>
            </m:oMath>
            <w:r>
              <w:t xml:space="preserve">10,550M (mid ~</w:t>
            </w:r>
            <m:oMath>
              <m:r>
                <m:t>10</m:t>
              </m:r>
              <m:r>
                <m:rPr>
                  <m:sty m:val="p"/>
                </m:rPr>
                <m:t>,</m:t>
              </m:r>
              <m:r>
                <m:t>475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10,380M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As Defined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420</m:t>
              </m:r>
              <m:r>
                <m:rPr>
                  <m:sty m:val="p"/>
                </m:rPr>
                <m:t>−</m:t>
              </m:r>
            </m:oMath>
            <w:r>
              <w:t xml:space="preserve">5,520M (mid ~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470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5,420M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Aftermarket Growth Commentary (Middle East drag)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guide/commentary ~high-single to low-double-digit growth maintained vs. cons fear of deceleration to mid-single-digit (Q4/FY2026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TDG's track record of beat-and-raise plus resilient aftermarket demand should drive an initial positive pop, but the stock has already rallied ~7-8% off its mid-July lows into the print (Stellant withdrawal removed an overhang, Prince &amp; Izant deal well-received), so much of the good news is pre-positioned. If the FY26 raise is proportionally smaller than the Q3 beat (a common TDG pattern - beat magnitude &gt; guidance raise magnitude), the implied Q4 organic growth/margin bridge decelerates, prompting analysts to trim out-quarter and early-FY27 aftermarket normalization estimates even as headline numbers beat, causing gains to fade over the week. Elevated valuation (~39x trailing) leaves little multiple support if any commentary on Middle East-related CAM lag or FY27 aftermarket deceleration surfaces on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2026-08-04T01:16:54Z</dcterms:created>
  <dcterms:modified xsi:type="dcterms:W3CDTF">2026-08-04T01:16:54Z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