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7" w:name="Xf1fc606ca762eac3a495e01fc4001eb2821c7bd"/>
    <w:p>
      <w:pPr>
        <w:pStyle w:val="Heading1"/>
      </w:pPr>
      <w:r>
        <w:t xml:space="preserve">TransDigm Group (TDG) — Fiscal Q3 2026 Earnings Preview</w:t>
      </w:r>
    </w:p>
    <w:p>
      <w:pPr>
        <w:pStyle w:val="FirstParagraph"/>
      </w:pPr>
      <w:r>
        <w:rPr>
          <w:b/>
          <w:bCs/>
        </w:rPr>
        <w:t xml:space="preserve">Report date:</w:t>
      </w:r>
      <w:r>
        <w:t xml:space="preserve"> </w:t>
      </w:r>
      <w:r>
        <w:t xml:space="preserve">August 4, 2026 (before market open) |</w:t>
      </w:r>
      <w:r>
        <w:t xml:space="preserve"> </w:t>
      </w:r>
      <w:r>
        <w:rPr>
          <w:b/>
          <w:bCs/>
        </w:rPr>
        <w:t xml:space="preserve">Call:</w:t>
      </w:r>
      <w:r>
        <w:t xml:space="preserve"> </w:t>
      </w:r>
      <w:r>
        <w:t xml:space="preserve">11:00 a.m. ET |</w:t>
      </w:r>
      <w:r>
        <w:t xml:space="preserve"> </w:t>
      </w:r>
      <w:r>
        <w:rPr>
          <w:b/>
          <w:bCs/>
        </w:rPr>
        <w:t xml:space="preserve">Fiscal period:</w:t>
      </w:r>
      <w:r>
        <w:t xml:space="preserve"> </w:t>
      </w:r>
      <w:r>
        <w:t xml:space="preserve">13 weeks ended ~June 27, 2026</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TDG shares closed at</w:t>
      </w:r>
      <w:r>
        <w:t xml:space="preserve"> </w:t>
      </w:r>
      <m:oMath>
        <m:r>
          <m:t>1</m:t>
        </m:r>
        <m:r>
          <m:rPr>
            <m:sty m:val="p"/>
          </m:rPr>
          <m:t>,</m:t>
        </m:r>
        <m:r>
          <m:t>285.60</m:t>
        </m:r>
        <m:r>
          <m:rPr>
            <m:sty m:val="p"/>
          </m:rPr>
          <m:t>*</m:t>
        </m:r>
        <m:r>
          <m:rPr>
            <m:sty m:val="p"/>
          </m:rPr>
          <m:t>*</m:t>
        </m:r>
        <m:r>
          <m:t>o</m:t>
        </m:r>
        <m:r>
          <m:t>n</m:t>
        </m:r>
        <m:r>
          <m:t>A</m:t>
        </m:r>
        <m:r>
          <m:t>u</m:t>
        </m:r>
        <m:r>
          <m:t>g</m:t>
        </m:r>
        <m:r>
          <m:t>u</m:t>
        </m:r>
        <m:r>
          <m:t>s</m:t>
        </m:r>
        <m:r>
          <m:t>t</m:t>
        </m:r>
        <m:r>
          <m:t>3</m:t>
        </m:r>
        <m:r>
          <m:rPr>
            <m:sty m:val="p"/>
          </m:rPr>
          <m:t>,</m:t>
        </m:r>
        <m:r>
          <m:t>w</m:t>
        </m:r>
        <m:r>
          <m:t>e</m:t>
        </m:r>
        <m:r>
          <m:t>l</m:t>
        </m:r>
        <m:r>
          <m:t>l</m:t>
        </m:r>
        <m:r>
          <m:t>o</m:t>
        </m:r>
        <m:r>
          <m:t>f</m:t>
        </m:r>
        <m:r>
          <m:t>f</m:t>
        </m:r>
        <m:r>
          <m:t>t</m:t>
        </m:r>
        <m:r>
          <m:t>h</m:t>
        </m:r>
        <m:r>
          <m:t>e</m:t>
        </m:r>
        <m:r>
          <m:t>52</m:t>
        </m:r>
        <m:r>
          <m:rPr>
            <m:sty m:val="p"/>
          </m:rPr>
          <m:t>−</m:t>
        </m:r>
        <m:r>
          <m:t>w</m:t>
        </m:r>
        <m:r>
          <m:t>e</m:t>
        </m:r>
        <m:r>
          <m:t>e</m:t>
        </m:r>
        <m:r>
          <m:t>k</m:t>
        </m:r>
        <m:r>
          <m:rPr>
            <m:sty m:val="p"/>
          </m:rPr>
          <m:t>/</m:t>
        </m:r>
        <m:r>
          <m:t>a</m:t>
        </m:r>
        <m:r>
          <m:t>l</m:t>
        </m:r>
        <m:r>
          <m:t>l</m:t>
        </m:r>
        <m:r>
          <m:rPr>
            <m:sty m:val="p"/>
          </m:rPr>
          <m:t>−</m:t>
        </m:r>
        <m:r>
          <m:t>t</m:t>
        </m:r>
        <m:r>
          <m:t>i</m:t>
        </m:r>
        <m:r>
          <m:t>m</m:t>
        </m:r>
        <m:r>
          <m:t>e</m:t>
        </m:r>
        <m:r>
          <m:t>h</m:t>
        </m:r>
        <m:r>
          <m:t>i</m:t>
        </m:r>
        <m:r>
          <m:t>g</m:t>
        </m:r>
        <m:r>
          <m:t>h</m:t>
        </m:r>
        <m:r>
          <m:t>n</m:t>
        </m:r>
        <m:r>
          <m:t>e</m:t>
        </m:r>
        <m:r>
          <m:t>a</m:t>
        </m:r>
        <m:r>
          <m:t>r</m:t>
        </m:r>
        <m:r>
          <m:rPr>
            <m:sty m:val="p"/>
          </m:rPr>
          <m:t>*</m:t>
        </m:r>
        <m:r>
          <m:rPr>
            <m:sty m:val="p"/>
          </m:rPr>
          <m:t>*</m:t>
        </m:r>
      </m:oMath>
      <w:r>
        <w:rPr>
          <w:b/>
          <w:bCs/>
        </w:rPr>
        <w:t xml:space="preserve">1,513</w:t>
      </w:r>
      <w:r>
        <w:t xml:space="preserve"> </w:t>
      </w:r>
      <w:r>
        <w:t xml:space="preserve">hit in February and still roughly</w:t>
      </w:r>
      <w:r>
        <w:t xml:space="preserve"> </w:t>
      </w:r>
      <w:r>
        <w:rPr>
          <w:b/>
          <w:bCs/>
        </w:rPr>
        <w:t xml:space="preserve">20% below where the stock traded a year ago</w:t>
      </w:r>
      <w:r>
        <w:t xml:space="preserve"> </w:t>
      </w:r>
      <w:r>
        <w:t xml:space="preserve">— a notable underperformance versus the S&amp;P 500 and the Industrial sector. The stock has been volatile since the fiscal Q2 report on May 5: it rallied into late June/early July (~</w:t>
      </w:r>
      <m:oMath>
        <m:r>
          <m:t>1</m:t>
        </m:r>
        <m:r>
          <m:rPr>
            <m:sty m:val="p"/>
          </m:rPr>
          <m:t>,</m:t>
        </m:r>
        <m:r>
          <m:t>348</m:t>
        </m:r>
        <m:r>
          <m:t>o</m:t>
        </m:r>
        <m:r>
          <m:t>n</m:t>
        </m:r>
        <m:r>
          <m:t>J</m:t>
        </m:r>
        <m:r>
          <m:t>u</m:t>
        </m:r>
        <m:r>
          <m:t>l</m:t>
        </m:r>
        <m:r>
          <m:t>y</m:t>
        </m:r>
        <m:r>
          <m:t>2</m:t>
        </m:r>
        <m:r>
          <m:rPr>
            <m:sty m:val="p"/>
          </m:rPr>
          <m:t>)</m:t>
        </m:r>
        <m:r>
          <m:t>b</m:t>
        </m:r>
        <m:r>
          <m:t>e</m:t>
        </m:r>
        <m:r>
          <m:t>f</m:t>
        </m:r>
        <m:r>
          <m:t>o</m:t>
        </m:r>
        <m:r>
          <m:t>r</m:t>
        </m:r>
        <m:r>
          <m:t>e</m:t>
        </m:r>
        <m:r>
          <m:t>s</m:t>
        </m:r>
        <m:r>
          <m:t>e</m:t>
        </m:r>
        <m:r>
          <m:t>l</m:t>
        </m:r>
        <m:r>
          <m:t>l</m:t>
        </m:r>
        <m:r>
          <m:t>i</m:t>
        </m:r>
        <m:r>
          <m:t>n</m:t>
        </m:r>
        <m:r>
          <m:t>g</m:t>
        </m:r>
        <m:r>
          <m:t>o</m:t>
        </m:r>
        <m:r>
          <m:t>f</m:t>
        </m:r>
        <m:r>
          <m:t>f</m:t>
        </m:r>
        <m:r>
          <m:t>t</m:t>
        </m:r>
        <m:r>
          <m:t>h</m:t>
        </m:r>
        <m:r>
          <m:t>r</m:t>
        </m:r>
        <m:r>
          <m:t>o</m:t>
        </m:r>
        <m:r>
          <m:t>u</m:t>
        </m:r>
        <m:r>
          <m:t>g</m:t>
        </m:r>
        <m:r>
          <m:t>h</m:t>
        </m:r>
        <m:r>
          <m:t>m</m:t>
        </m:r>
        <m:r>
          <m:t>i</m:t>
        </m:r>
        <m:r>
          <m:t>d</m:t>
        </m:r>
        <m:r>
          <m:rPr>
            <m:sty m:val="p"/>
          </m:rPr>
          <m:t>−</m:t>
        </m:r>
        <m:r>
          <m:t>J</m:t>
        </m:r>
        <m:r>
          <m:t>u</m:t>
        </m:r>
        <m:r>
          <m:t>l</m:t>
        </m:r>
        <m:r>
          <m:t>y</m:t>
        </m:r>
        <m:r>
          <m:rPr>
            <m:sty m:val="p"/>
          </m:rPr>
          <m:t>(</m:t>
        </m:r>
        <m:r>
          <m:t> </m:t>
        </m:r>
      </m:oMath>
      <w:r>
        <w:t xml:space="preserve">1,195–$1,235) on a Morgan Stanley downgrade, then bounced back on the July 27 acquisition announcement and into the print.</w:t>
      </w:r>
    </w:p>
    <w:p>
      <w:pPr>
        <w:pStyle w:val="BodyText"/>
      </w:pPr>
      <w:r>
        <w:rPr>
          <w:b/>
          <w:bCs/>
        </w:rPr>
        <w:t xml:space="preserve">Sell-side positioning is decidedly split heading into the quarter.</w:t>
      </w:r>
      <w:r>
        <w:t xml:space="preserve"> </w:t>
      </w:r>
      <w:r>
        <w:t xml:space="preserve">Morgan Stanley cut TDG to Equal-Weight on July 15, slashing its price target to $1,345 from $1,680, while Stifel trimmed its target to $1,525 from</w:t>
      </w:r>
      <w:r>
        <w:t xml:space="preserve"> </w:t>
      </w:r>
      <w:r>
        <w:t xml:space="preserve">$1,650. Yet the broader consensus remains constructive — aggregated data from multiple trackers still shows a "Buy"/"Moderate Buy" consensus with average targets clustered in the **$</w:t>
      </w:r>
      <w:r>
        <w:t xml:space="preserve">1,460–</w:t>
      </w:r>
      <m:oMath>
        <m:r>
          <m:t>1</m:t>
        </m:r>
        <m:r>
          <m:rPr>
            <m:sty m:val="p"/>
          </m:rPr>
          <m:t>,</m:t>
        </m:r>
        <m:r>
          <m:t>560</m:t>
        </m:r>
        <m:r>
          <m:t>r</m:t>
        </m:r>
        <m:r>
          <m:t>a</m:t>
        </m:r>
        <m:r>
          <m:t>n</m:t>
        </m:r>
        <m:r>
          <m:t>g</m:t>
        </m:r>
        <m:r>
          <m:t>e</m:t>
        </m:r>
        <m:r>
          <m:rPr>
            <m:sty m:val="p"/>
          </m:rPr>
          <m:t>*</m:t>
        </m:r>
        <m:r>
          <m:rPr>
            <m:sty m:val="p"/>
          </m:rPr>
          <m:t>*</m:t>
        </m:r>
        <m:r>
          <m:rPr>
            <m:sty m:val="p"/>
          </m:rPr>
          <m:t>,</m:t>
        </m:r>
        <m:r>
          <m:t>i</m:t>
        </m:r>
        <m:r>
          <m:t>m</m:t>
        </m:r>
        <m:r>
          <m:t>p</m:t>
        </m:r>
        <m:r>
          <m:t>l</m:t>
        </m:r>
        <m:r>
          <m:t>y</m:t>
        </m:r>
        <m:r>
          <m:t>i</m:t>
        </m:r>
        <m:r>
          <m:t>n</m:t>
        </m:r>
        <m:r>
          <m:t>g</m:t>
        </m:r>
        <m:r>
          <m:t>m</m:t>
        </m:r>
        <m:r>
          <m:t>e</m:t>
        </m:r>
        <m:r>
          <m:t>a</m:t>
        </m:r>
        <m:r>
          <m:t>n</m:t>
        </m:r>
        <m:r>
          <m:t>i</m:t>
        </m:r>
        <m:r>
          <m:t>n</m:t>
        </m:r>
        <m:r>
          <m:t>g</m:t>
        </m:r>
        <m:r>
          <m:t>f</m:t>
        </m:r>
        <m:r>
          <m:t>u</m:t>
        </m:r>
        <m:r>
          <m:t>l</m:t>
        </m:r>
        <m:r>
          <m:t>u</m:t>
        </m:r>
        <m:r>
          <m:t>p</m:t>
        </m:r>
        <m:r>
          <m:t>s</m:t>
        </m:r>
        <m:r>
          <m:t>i</m:t>
        </m:r>
        <m:r>
          <m:t>d</m:t>
        </m:r>
        <m:r>
          <m:t>e</m:t>
        </m:r>
        <m:r>
          <m:t>f</m:t>
        </m:r>
        <m:r>
          <m:t>r</m:t>
        </m:r>
        <m:r>
          <m:t>o</m:t>
        </m:r>
        <m:r>
          <m:t>m</m:t>
        </m:r>
        <m:r>
          <m:t>c</m:t>
        </m:r>
        <m:r>
          <m:t>u</m:t>
        </m:r>
        <m:r>
          <m:t>r</m:t>
        </m:r>
        <m:r>
          <m:t>r</m:t>
        </m:r>
        <m:r>
          <m:t>e</m:t>
        </m:r>
        <m:r>
          <m:t>n</m:t>
        </m:r>
        <m:r>
          <m:t>t</m:t>
        </m:r>
        <m:r>
          <m:t>l</m:t>
        </m:r>
        <m:r>
          <m:t>e</m:t>
        </m:r>
        <m:r>
          <m:t>v</m:t>
        </m:r>
        <m:r>
          <m:t>e</m:t>
        </m:r>
        <m:r>
          <m:t>l</m:t>
        </m:r>
        <m:r>
          <m:t>s</m:t>
        </m:r>
        <m:r>
          <m:rPr>
            <m:sty m:val="p"/>
          </m:rPr>
          <m:t>,</m:t>
        </m:r>
        <m:r>
          <m:t>a</m:t>
        </m:r>
        <m:r>
          <m:t>l</m:t>
        </m:r>
        <m:r>
          <m:t>o</m:t>
        </m:r>
        <m:r>
          <m:t>n</m:t>
        </m:r>
        <m:r>
          <m:t>g</m:t>
        </m:r>
        <m:r>
          <m:t>s</m:t>
        </m:r>
        <m:r>
          <m:t>i</m:t>
        </m:r>
        <m:r>
          <m:t>d</m:t>
        </m:r>
        <m:r>
          <m:t>e</m:t>
        </m:r>
        <m:r>
          <m:t>a</m:t>
        </m:r>
        <m:r>
          <m:t>w</m:t>
        </m:r>
        <m:r>
          <m:t>i</m:t>
        </m:r>
        <m:r>
          <m:t>d</m:t>
        </m:r>
        <m:r>
          <m:t>e</m:t>
        </m:r>
        <m:r>
          <m:t>d</m:t>
        </m:r>
        <m:r>
          <m:t>i</m:t>
        </m:r>
        <m:r>
          <m:t>s</m:t>
        </m:r>
        <m:r>
          <m:t>p</m:t>
        </m:r>
        <m:r>
          <m:t>e</m:t>
        </m:r>
        <m:r>
          <m:t>r</m:t>
        </m:r>
        <m:r>
          <m:t>s</m:t>
        </m:r>
        <m:r>
          <m:t>i</m:t>
        </m:r>
        <m:r>
          <m:t>o</m:t>
        </m:r>
        <m:r>
          <m:t>n</m:t>
        </m:r>
        <m:r>
          <m:t>o</m:t>
        </m:r>
        <m:r>
          <m:t>f</m:t>
        </m:r>
        <m:r>
          <m:t>i</m:t>
        </m:r>
        <m:r>
          <m:t>n</m:t>
        </m:r>
        <m:r>
          <m:t>d</m:t>
        </m:r>
        <m:r>
          <m:t>i</m:t>
        </m:r>
        <m:r>
          <m:t>v</m:t>
        </m:r>
        <m:r>
          <m:t>i</m:t>
        </m:r>
        <m:r>
          <m:t>d</m:t>
        </m:r>
        <m:r>
          <m:t>u</m:t>
        </m:r>
        <m:r>
          <m:t>a</m:t>
        </m:r>
        <m:r>
          <m:t>l</m:t>
        </m:r>
        <m:r>
          <m:t>t</m:t>
        </m:r>
        <m:r>
          <m:t>a</m:t>
        </m:r>
        <m:r>
          <m:t>r</m:t>
        </m:r>
        <m:r>
          <m:t>g</m:t>
        </m:r>
        <m:r>
          <m:t>e</m:t>
        </m:r>
        <m:r>
          <m:t>t</m:t>
        </m:r>
        <m:r>
          <m:t>s</m:t>
        </m:r>
        <m:r>
          <m:rPr>
            <m:sty m:val="p"/>
          </m:rPr>
          <m:t>(</m:t>
        </m:r>
      </m:oMath>
      <w:r>
        <w:t xml:space="preserve">1,200–$1,937). At current levels TDG trades around a</w:t>
      </w:r>
      <w:r>
        <w:t xml:space="preserve"> </w:t>
      </w:r>
      <w:r>
        <w:rPr>
          <w:b/>
          <w:bCs/>
        </w:rPr>
        <w:t xml:space="preserve">39x trailing / ~27x forward P/E</w:t>
      </w:r>
      <w:r>
        <w:t xml:space="preserve">, still a premium multiple that leaves little room for a stumble.</w:t>
      </w:r>
    </w:p>
    <w:p>
      <w:pPr>
        <w:pStyle w:val="BodyText"/>
      </w:pPr>
      <w:r>
        <w:rPr>
          <w:b/>
          <w:bCs/>
        </w:rPr>
        <w:t xml:space="preserve">Consensus for the quarter:</w:t>
      </w:r>
      <w:r>
        <w:t xml:space="preserve"> </w:t>
      </w:r>
      <w:r>
        <w:t xml:space="preserve">Estimates have generally clustered around</w:t>
      </w:r>
      <w:r>
        <w:t xml:space="preserve"> </w:t>
      </w:r>
      <w:r>
        <w:rPr>
          <w:b/>
          <w:bCs/>
        </w:rPr>
        <w:t xml:space="preserve">adjusted EPS of roughly</w:t>
      </w:r>
      <w:r>
        <w:rPr>
          <w:b/>
          <w:bCs/>
        </w:rPr>
        <w:t xml:space="preserve"> </w:t>
      </w:r>
      <m:oMath>
        <m:r>
          <m:t>10.00</m:t>
        </m:r>
        <m:r>
          <m:rPr>
            <m:sty m:val="p"/>
          </m:rPr>
          <m:t>–</m:t>
        </m:r>
      </m:oMath>
      <w:r>
        <w:rPr>
          <w:b/>
          <w:bCs/>
        </w:rPr>
        <w:t xml:space="preserve">10.30</w:t>
      </w:r>
      <w:r>
        <w:t xml:space="preserve"> </w:t>
      </w:r>
      <w:r>
        <w:t xml:space="preserve">(vs.</w:t>
      </w:r>
      <w:r>
        <w:t xml:space="preserve"> </w:t>
      </w:r>
      <m:oMath>
        <m:r>
          <m:t>9.03</m:t>
        </m:r>
        <m:r>
          <m:rPr>
            <m:sty m:val="p"/>
          </m:rPr>
          <m:t>–</m:t>
        </m:r>
      </m:oMath>
      <w:r>
        <w:t xml:space="preserve">9.11 a year ago) on **revenue near</w:t>
      </w:r>
      <w:r>
        <w:t xml:space="preserve"> </w:t>
      </w:r>
      <m:oMath>
        <m:r>
          <m:t>2.68</m:t>
        </m:r>
        <m:r>
          <m:t>b</m:t>
        </m:r>
        <m:r>
          <m:t>i</m:t>
        </m:r>
        <m:r>
          <m:t>l</m:t>
        </m:r>
        <m:r>
          <m:t>l</m:t>
        </m:r>
        <m:r>
          <m:t>i</m:t>
        </m:r>
        <m:r>
          <m:t>o</m:t>
        </m:r>
        <m:r>
          <m:t>n</m:t>
        </m:r>
        <m:r>
          <m:rPr>
            <m:sty m:val="p"/>
          </m:rPr>
          <m:t>*</m:t>
        </m:r>
        <m:r>
          <m:rPr>
            <m:sty m:val="p"/>
          </m:rPr>
          <m:t>*</m:t>
        </m:r>
        <m:r>
          <m:rPr>
            <m:sty m:val="p"/>
          </m:rPr>
          <m:t>.</m:t>
        </m:r>
        <m:r>
          <m:t>F</m:t>
        </m:r>
        <m:r>
          <m:t>u</m:t>
        </m:r>
        <m:r>
          <m:t>l</m:t>
        </m:r>
        <m:r>
          <m:t>l</m:t>
        </m:r>
        <m:r>
          <m:rPr>
            <m:sty m:val="p"/>
          </m:rPr>
          <m:t>−</m:t>
        </m:r>
        <m:r>
          <m:t>y</m:t>
        </m:r>
        <m:r>
          <m:t>e</m:t>
        </m:r>
        <m:r>
          <m:t>a</m:t>
        </m:r>
        <m:r>
          <m:t>r</m:t>
        </m:r>
        <m:r>
          <m:t>S</m:t>
        </m:r>
        <m:r>
          <m:t>t</m:t>
        </m:r>
        <m:r>
          <m:t>r</m:t>
        </m:r>
        <m:r>
          <m:t>e</m:t>
        </m:r>
        <m:r>
          <m:t>e</m:t>
        </m:r>
        <m:r>
          <m:t>t</m:t>
        </m:r>
        <m:r>
          <m:t>e</m:t>
        </m:r>
        <m:r>
          <m:t>s</m:t>
        </m:r>
        <m:r>
          <m:t>t</m:t>
        </m:r>
        <m:r>
          <m:t>i</m:t>
        </m:r>
        <m:r>
          <m:t>m</m:t>
        </m:r>
        <m:r>
          <m:t>a</m:t>
        </m:r>
        <m:r>
          <m:t>t</m:t>
        </m:r>
        <m:r>
          <m:t>e</m:t>
        </m:r>
        <m:r>
          <m:t>s</m:t>
        </m:r>
        <m:r>
          <m:t>s</m:t>
        </m:r>
        <m:r>
          <m:t>i</m:t>
        </m:r>
        <m:r>
          <m:t>t</m:t>
        </m:r>
        <m:r>
          <m:t>c</m:t>
        </m:r>
        <m:r>
          <m:t>l</m:t>
        </m:r>
        <m:r>
          <m:t>o</m:t>
        </m:r>
        <m:r>
          <m:t>s</m:t>
        </m:r>
        <m:r>
          <m:t>e</m:t>
        </m:r>
        <m:r>
          <m:t>t</m:t>
        </m:r>
        <m:r>
          <m:t>o</m:t>
        </m:r>
        <m:r>
          <m:t>t</m:t>
        </m:r>
        <m:r>
          <m:t>h</m:t>
        </m:r>
        <m:r>
          <m:t>e</m:t>
        </m:r>
        <m:r>
          <m:t>t</m:t>
        </m:r>
        <m:r>
          <m:t>o</m:t>
        </m:r>
        <m:r>
          <m:t>p</m:t>
        </m:r>
        <m:r>
          <m:t>o</m:t>
        </m:r>
        <m:r>
          <m:t>f</m:t>
        </m:r>
        <m:r>
          <m:t>m</m:t>
        </m:r>
        <m:r>
          <m:t>a</m:t>
        </m:r>
        <m:r>
          <m:t>n</m:t>
        </m:r>
        <m:r>
          <m:t>a</m:t>
        </m:r>
        <m:r>
          <m:t>g</m:t>
        </m:r>
        <m:r>
          <m:t>e</m:t>
        </m:r>
        <m:r>
          <m:t>m</m:t>
        </m:r>
        <m:r>
          <m:t>e</m:t>
        </m:r>
        <m:r>
          <m:t>n</m:t>
        </m:r>
        <m:sSup>
          <m:e>
            <m:r>
              <m:t>t</m:t>
            </m:r>
          </m:e>
          <m:sup>
            <m:r>
              <m:rPr>
                <m:sty m:val="p"/>
              </m:rPr>
              <m:t>′</m:t>
            </m:r>
          </m:sup>
        </m:sSup>
        <m:r>
          <m:t>s</m:t>
        </m:r>
        <m:r>
          <m:t>o</m:t>
        </m:r>
        <m:r>
          <m:t>w</m:t>
        </m:r>
        <m:r>
          <m:t>n</m:t>
        </m:r>
        <m:r>
          <m:t>g</m:t>
        </m:r>
        <m:r>
          <m:t>u</m:t>
        </m:r>
        <m:r>
          <m:t>i</m:t>
        </m:r>
        <m:r>
          <m:t>d</m:t>
        </m:r>
        <m:r>
          <m:t>a</m:t>
        </m:r>
        <m:r>
          <m:t>n</m:t>
        </m:r>
        <m:r>
          <m:t>c</m:t>
        </m:r>
        <m:r>
          <m:t>e</m:t>
        </m:r>
        <m:r>
          <m:t>r</m:t>
        </m:r>
        <m:r>
          <m:t>a</m:t>
        </m:r>
        <m:r>
          <m:t>n</m:t>
        </m:r>
        <m:r>
          <m:t>g</m:t>
        </m:r>
        <m:r>
          <m:t>e</m:t>
        </m:r>
        <m:r>
          <m:rPr>
            <m:sty m:val="p"/>
          </m:rPr>
          <m:t>(</m:t>
        </m:r>
        <m:r>
          <m:t> </m:t>
        </m:r>
      </m:oMath>
      <w:r>
        <w:t xml:space="preserve">39.5–39.8 adjusted EPS on ~$10.2–10.4B revenue).</w:t>
      </w:r>
    </w:p>
    <w:p>
      <w:r>
        <w:pict>
          <v:rect style="width:0;height:1.5pt" o:hralign="center" o:hrstd="t" o:hr="t"/>
        </w:pict>
      </w:r>
    </w:p>
    <w:bookmarkEnd w:id="9"/>
    <w:bookmarkStart w:id="10" w:name="Xe8e4a4286e51c0520f55ca011e7261dc5122589"/>
    <w:p>
      <w:pPr>
        <w:pStyle w:val="Heading2"/>
      </w:pPr>
      <w:r>
        <w:t xml:space="preserve">2. What Happened Last Quarter (the Baseline to Beat)</w:t>
      </w:r>
    </w:p>
    <w:p>
      <w:pPr>
        <w:pStyle w:val="FirstParagraph"/>
      </w:pPr>
      <w:r>
        <w:t xml:space="preserve">Fiscal Q2 (reported May 5) was a strong beat-and-raise quarter: net sales of $2,544 million (+18.3% y/y, 11.0% organic), EBITDA As Defined of $1,337 million (52.6% margin), and adjusted EPS of $9.85. Management raised full-year guidance for the</w:t>
      </w:r>
      <w:r>
        <w:t xml:space="preserve"> </w:t>
      </w:r>
      <w:r>
        <w:rPr>
          <w:b/>
          <w:bCs/>
        </w:rPr>
        <w:t xml:space="preserve">second time this fiscal year</w:t>
      </w:r>
      <w:r>
        <w:t xml:space="preserve">, lifting the sales midpoint by $420 million and EBITDA As Defined midpoint by $210 million. Growth was broad-based: commercial OEM revenue +12%, commercial aftermarket +14%, and defense +11% on a pro forma basis, with bookings outpacing shipments in</w:t>
      </w:r>
      <w:r>
        <w:t xml:space="preserve"> </w:t>
      </w:r>
      <w:r>
        <w:rPr>
          <w:b/>
          <w:bCs/>
        </w:rPr>
        <w:t xml:space="preserve">all three channels</w:t>
      </w:r>
      <w:r>
        <w:t xml:space="preserve">.</w:t>
      </w:r>
    </w:p>
    <w:p>
      <w:pPr>
        <w:pStyle w:val="BodyText"/>
      </w:pPr>
      <w:r>
        <w:t xml:space="preserve">Current FY2026 guidance (as of the Q2 print, and the bar Q3 will be measured against):</w:t>
      </w:r>
    </w:p>
    <w:p>
      <w:pPr>
        <w:pStyle w:val="Compact"/>
        <w:numPr>
          <w:ilvl w:val="0"/>
          <w:numId w:val="1001"/>
        </w:numPr>
      </w:pPr>
      <w:r>
        <w:rPr>
          <w:b/>
          <w:bCs/>
        </w:rPr>
        <w:t xml:space="preserve">Net sales:</w:t>
      </w:r>
      <w:r>
        <w:t xml:space="preserve"> </w:t>
      </w:r>
      <m:oMath>
        <m:r>
          <m:t>10</m:t>
        </m:r>
        <m:r>
          <m:rPr>
            <m:sty m:val="p"/>
          </m:rPr>
          <m:t>,</m:t>
        </m:r>
        <m:r>
          <m:t>300</m:t>
        </m:r>
        <m:r>
          <m:rPr>
            <m:sty m:val="p"/>
          </m:rPr>
          <m:t>–</m:t>
        </m:r>
      </m:oMath>
      <w:r>
        <w:t xml:space="preserve">10,420 million (+17.3% at midpoint)</w:t>
      </w:r>
    </w:p>
    <w:p>
      <w:pPr>
        <w:pStyle w:val="Compact"/>
        <w:numPr>
          <w:ilvl w:val="0"/>
          <w:numId w:val="1001"/>
        </w:numPr>
      </w:pPr>
      <w:r>
        <w:rPr>
          <w:b/>
          <w:bCs/>
        </w:rPr>
        <w:t xml:space="preserve">EBITDA As Defined:</w:t>
      </w:r>
      <w:r>
        <w:t xml:space="preserve"> </w:t>
      </w:r>
      <m:oMath>
        <m:r>
          <m:t>5</m:t>
        </m:r>
        <m:r>
          <m:rPr>
            <m:sty m:val="p"/>
          </m:rPr>
          <m:t>,</m:t>
        </m:r>
        <m:r>
          <m:t>370</m:t>
        </m:r>
        <m:r>
          <m:rPr>
            <m:sty m:val="p"/>
          </m:rPr>
          <m:t>–</m:t>
        </m:r>
      </m:oMath>
      <w:r>
        <w:t xml:space="preserve">5,470 million (~52.3% margin), +13.9% at midpoint</w:t>
      </w:r>
    </w:p>
    <w:p>
      <w:pPr>
        <w:pStyle w:val="Compact"/>
        <w:numPr>
          <w:ilvl w:val="0"/>
          <w:numId w:val="1001"/>
        </w:numPr>
      </w:pPr>
      <w:r>
        <w:rPr>
          <w:b/>
          <w:bCs/>
        </w:rPr>
        <w:t xml:space="preserve">Adjusted EPS:</w:t>
      </w:r>
      <w:r>
        <w:t xml:space="preserve"> </w:t>
      </w:r>
      <m:oMath>
        <m:r>
          <m:t>38.83</m:t>
        </m:r>
        <m:r>
          <m:rPr>
            <m:sty m:val="p"/>
          </m:rPr>
          <m:t>–</m:t>
        </m:r>
      </m:oMath>
      <w:r>
        <w:t xml:space="preserve">40.21 (+5.9% at midpoint)</w:t>
      </w:r>
    </w:p>
    <w:p>
      <w:pPr>
        <w:pStyle w:val="Compact"/>
        <w:numPr>
          <w:ilvl w:val="0"/>
          <w:numId w:val="1001"/>
        </w:numPr>
      </w:pPr>
      <w:r>
        <w:rPr>
          <w:b/>
          <w:bCs/>
        </w:rPr>
        <w:t xml:space="preserve">Free cash flow:</w:t>
      </w:r>
      <w:r>
        <w:t xml:space="preserve"> </w:t>
      </w:r>
      <w:r>
        <w:t xml:space="preserve">raised to ~$2.5 billion</w:t>
      </w:r>
    </w:p>
    <w:p>
      <w:pPr>
        <w:pStyle w:val="Compact"/>
        <w:numPr>
          <w:ilvl w:val="0"/>
          <w:numId w:val="1001"/>
        </w:numPr>
      </w:pPr>
      <w:r>
        <w:t xml:space="preserve">Channel growth assumptions: commercial OEM low-double-digit to mid-teens; commercial aftermarket high-single to low-double-digit; defense high-single-digit</w:t>
      </w:r>
    </w:p>
    <w:p>
      <w:pPr>
        <w:pStyle w:val="FirstParagraph"/>
      </w:pPr>
      <w:r>
        <w:t xml:space="preserve">This guidance</w:t>
      </w:r>
      <w:r>
        <w:t xml:space="preserve"> </w:t>
      </w:r>
      <w:r>
        <w:rPr>
          <w:b/>
          <w:bCs/>
        </w:rPr>
        <w:t xml:space="preserve">excludes</w:t>
      </w:r>
      <w:r>
        <w:t xml:space="preserve"> </w:t>
      </w:r>
      <w:r>
        <w:t xml:space="preserve">any contribution from acquisitions not yet closed.</w:t>
      </w:r>
    </w:p>
    <w:p>
      <w:r>
        <w:pict>
          <v:rect style="width:0;height:1.5pt" o:hralign="center" o:hrstd="t" o:hr="t"/>
        </w:pict>
      </w:r>
    </w:p>
    <w:bookmarkEnd w:id="10"/>
    <w:bookmarkStart w:id="11" w:name="Xb96de83049d1723dc2d3cba4a82ecd1fe39cc9d"/>
    <w:p>
      <w:pPr>
        <w:pStyle w:val="Heading2"/>
      </w:pPr>
      <w:r>
        <w:t xml:space="preserve">3. Key Swing Factor: The Middle East Conflict and Commercial Aftermarket Lag</w:t>
      </w:r>
    </w:p>
    <w:p>
      <w:pPr>
        <w:pStyle w:val="FirstParagraph"/>
      </w:pPr>
      <w:r>
        <w:t xml:space="preserve">The single biggest variable heading into this print is how much (if any) of the ongoing Middle East conflict has bled into commercial aftermarket ordering activity. On the Q2 call, management was explicit that global RPM growth had slowed and Middle East carrier activity had dropped sharply, but noted no material impact yet on CAM ordering, while cautioning that effects</w:t>
      </w:r>
      <w:r>
        <w:t xml:space="preserve"> </w:t>
      </w:r>
      <w:r>
        <w:rPr>
          <w:b/>
          <w:bCs/>
        </w:rPr>
        <w:t xml:space="preserve">historically lag</w:t>
      </w:r>
      <w:r>
        <w:t xml:space="preserve"> </w:t>
      </w:r>
      <w:r>
        <w:t xml:space="preserve">— "about half of our CAM shipments in any quarter, ship in the same quarter," meaning the risk builds the further out you look. Management flagged that roughly 6–10% of global capacity tied to the Middle East was directly affected, and CEO Mike Lisman argued that historically these disruptions have been "sharp" but tend to correct quickly once resolved.</w:t>
      </w:r>
    </w:p>
    <w:p>
      <w:pPr>
        <w:pStyle w:val="BodyText"/>
      </w:pPr>
      <w:r>
        <w:t xml:space="preserve">By late July/early August, broader market data suggests the conflict and its knock-on effects (elevated oil/jet fuel prices, capacity reallocation) are</w:t>
      </w:r>
      <w:r>
        <w:t xml:space="preserve"> </w:t>
      </w:r>
      <w:r>
        <w:rPr>
          <w:b/>
          <w:bCs/>
        </w:rPr>
        <w:t xml:space="preserve">still live</w:t>
      </w:r>
      <w:r>
        <w:t xml:space="preserve">: airlines including IAG/British Airways have flattened capacity guidance and cut Middle East/Asia capacity roughly 17% y/y, while energy companies (Chevron, Diamondback) continue to post outsized profits tied to war-driven oil price strength. This raises the stakes for whether TDG's Q3 print shows any deceleration in aftermarket bookings/point-of-sale data versus the very strong Q2 (+14% total CAM, +16% commercial transport aftermarket, engine and passenger the standout submarkets), or whether — consistent with management's "sharp but temporary" framing — demand has stayed resilient. Watch specifically for commentary on distributor inventory/point-of-sale trends, freight (the softest submarket last quarter, still double-digit but decelerating), and any update to the FY26 aftermarket growth range.</w:t>
      </w:r>
    </w:p>
    <w:p>
      <w:pPr>
        <w:pStyle w:val="BodyText"/>
      </w:pPr>
      <w:r>
        <w:t xml:space="preserve">There's also a building bear narrative around</w:t>
      </w:r>
      <w:r>
        <w:t xml:space="preserve"> </w:t>
      </w:r>
      <w:r>
        <w:rPr>
          <w:b/>
          <w:bCs/>
        </w:rPr>
        <w:t xml:space="preserve">FY2027 aftermarket growth normalizing</w:t>
      </w:r>
      <w:r>
        <w:t xml:space="preserve"> </w:t>
      </w:r>
      <w:r>
        <w:t xml:space="preserve">after several years of above-trend growth — this was raised directly by a sell-side analyst on the Q2 call, and management deferred detailed comments until formal FY27 guidance. Any directional commentary here will be scrutinized.</w:t>
      </w:r>
    </w:p>
    <w:p>
      <w:r>
        <w:pict>
          <v:rect style="width:0;height:1.5pt" o:hralign="center" o:hrstd="t" o:hr="t"/>
        </w:pict>
      </w:r>
    </w:p>
    <w:bookmarkEnd w:id="11"/>
    <w:bookmarkStart w:id="12" w:name="Xd17d71c16936d5e279ca45085832445247c8623"/>
    <w:p>
      <w:pPr>
        <w:pStyle w:val="Heading2"/>
      </w:pPr>
      <w:r>
        <w:t xml:space="preserve">4. M&amp;A: A Very Active Summer</w:t>
      </w:r>
    </w:p>
    <w:p>
      <w:pPr>
        <w:pStyle w:val="FirstParagraph"/>
      </w:pPr>
      <w:r>
        <w:t xml:space="preserve">TDG's acquisition pipeline has been unusually eventful since the last print:</w:t>
      </w:r>
    </w:p>
    <w:p>
      <w:pPr>
        <w:pStyle w:val="Compact"/>
        <w:numPr>
          <w:ilvl w:val="0"/>
          <w:numId w:val="1002"/>
        </w:numPr>
      </w:pPr>
      <w:r>
        <w:rPr>
          <w:b/>
          <w:bCs/>
        </w:rPr>
        <w:t xml:space="preserve">Closed:</w:t>
      </w:r>
      <w:r>
        <w:t xml:space="preserve"> </w:t>
      </w:r>
      <w:r>
        <w:t xml:space="preserve">Jet Parts Engineering and Victor Sierra Aviation ($2.2 billion combined, closed April 7) — both PMA/aftermarket-parts businesses now roughly two quarters into integration.</w:t>
      </w:r>
    </w:p>
    <w:p>
      <w:pPr>
        <w:pStyle w:val="Compact"/>
        <w:numPr>
          <w:ilvl w:val="0"/>
          <w:numId w:val="1002"/>
        </w:numPr>
      </w:pPr>
      <w:r>
        <w:rPr>
          <w:b/>
          <w:bCs/>
        </w:rPr>
        <w:t xml:space="preserve">Withdrawn:</w:t>
      </w:r>
      <w:r>
        <w:t xml:space="preserve"> </w:t>
      </w:r>
      <w:r>
        <w:t xml:space="preserve">On</w:t>
      </w:r>
      <w:r>
        <w:t xml:space="preserve"> </w:t>
      </w:r>
      <w:r>
        <w:rPr>
          <w:b/>
          <w:bCs/>
        </w:rPr>
        <w:t xml:space="preserve">July 13, 2026</w:t>
      </w:r>
      <w:r>
        <w:t xml:space="preserve">, TransDigm withdrew from its previously announced ~$960 million acquisition of Stellant Systems from Arlington Capital Partners, citing regulatory-timeline uncertainty and opportunity cost relative to other strategic targets — a rare instance of TDG walking from a signed deal, and one some investors read as a positive (removing a regulatory overhang) rather than negative.</w:t>
      </w:r>
    </w:p>
    <w:p>
      <w:pPr>
        <w:pStyle w:val="Compact"/>
        <w:numPr>
          <w:ilvl w:val="0"/>
          <w:numId w:val="1002"/>
        </w:numPr>
      </w:pPr>
      <w:r>
        <w:rPr>
          <w:b/>
          <w:bCs/>
        </w:rPr>
        <w:t xml:space="preserve">New deal announced:</w:t>
      </w:r>
      <w:r>
        <w:t xml:space="preserve"> </w:t>
      </w:r>
      <w:r>
        <w:t xml:space="preserve">On</w:t>
      </w:r>
      <w:r>
        <w:t xml:space="preserve"> </w:t>
      </w:r>
      <w:r>
        <w:rPr>
          <w:b/>
          <w:bCs/>
        </w:rPr>
        <w:t xml:space="preserve">July 27, 2026</w:t>
      </w:r>
      <w:r>
        <w:t xml:space="preserve">, TransDigm agreed to acquire</w:t>
      </w:r>
      <w:r>
        <w:t xml:space="preserve"> </w:t>
      </w:r>
      <w:r>
        <w:rPr>
          <w:b/>
          <w:bCs/>
        </w:rPr>
        <w:t xml:space="preserve">Prince &amp; Izant</w:t>
      </w:r>
      <w:r>
        <w:t xml:space="preserve"> </w:t>
      </w:r>
      <w:r>
        <w:t xml:space="preserve">for approximately</w:t>
      </w:r>
      <w:r>
        <w:t xml:space="preserve"> </w:t>
      </w:r>
      <m:oMath>
        <m:r>
          <m:t>1.066</m:t>
        </m:r>
        <m:r>
          <m:t>b</m:t>
        </m:r>
        <m:r>
          <m:t>i</m:t>
        </m:r>
        <m:r>
          <m:t>l</m:t>
        </m:r>
        <m:r>
          <m:t>l</m:t>
        </m:r>
        <m:r>
          <m:t>i</m:t>
        </m:r>
        <m:r>
          <m:t>o</m:t>
        </m:r>
        <m:r>
          <m:t>n</m:t>
        </m:r>
        <m:r>
          <m:rPr>
            <m:sty m:val="p"/>
          </m:rPr>
          <m:t>,</m:t>
        </m:r>
        <m:r>
          <m:t>a</m:t>
        </m:r>
        <m:r>
          <m:t>C</m:t>
        </m:r>
        <m:r>
          <m:t>l</m:t>
        </m:r>
        <m:r>
          <m:t>e</m:t>
        </m:r>
        <m:r>
          <m:t>v</m:t>
        </m:r>
        <m:r>
          <m:t>e</m:t>
        </m:r>
        <m:r>
          <m:t>l</m:t>
        </m:r>
        <m:r>
          <m:t>a</m:t>
        </m:r>
        <m:r>
          <m:t>n</m:t>
        </m:r>
        <m:r>
          <m:t>d</m:t>
        </m:r>
        <m:r>
          <m:rPr>
            <m:sty m:val="p"/>
          </m:rPr>
          <m:t>−</m:t>
        </m:r>
        <m:r>
          <m:t>b</m:t>
        </m:r>
        <m:r>
          <m:t>a</m:t>
        </m:r>
        <m:r>
          <m:t>s</m:t>
        </m:r>
        <m:r>
          <m:t>e</m:t>
        </m:r>
        <m:r>
          <m:t>d</m:t>
        </m:r>
        <m:r>
          <m:t>m</m:t>
        </m:r>
        <m:r>
          <m:t>a</m:t>
        </m:r>
        <m:r>
          <m:t>k</m:t>
        </m:r>
        <m:r>
          <m:t>e</m:t>
        </m:r>
        <m:r>
          <m:t>r</m:t>
        </m:r>
        <m:r>
          <m:t>o</m:t>
        </m:r>
        <m:r>
          <m:t>f</m:t>
        </m:r>
        <m:r>
          <m:t>h</m:t>
        </m:r>
        <m:r>
          <m:t>i</m:t>
        </m:r>
        <m:r>
          <m:t>g</m:t>
        </m:r>
        <m:r>
          <m:t>h</m:t>
        </m:r>
        <m:r>
          <m:t>l</m:t>
        </m:r>
        <m:r>
          <m:t>y</m:t>
        </m:r>
        <m:r>
          <m:t>e</m:t>
        </m:r>
        <m:r>
          <m:t>n</m:t>
        </m:r>
        <m:r>
          <m:t>g</m:t>
        </m:r>
        <m:r>
          <m:t>i</m:t>
        </m:r>
        <m:r>
          <m:t>n</m:t>
        </m:r>
        <m:r>
          <m:t>e</m:t>
        </m:r>
        <m:r>
          <m:t>e</m:t>
        </m:r>
        <m:r>
          <m:t>r</m:t>
        </m:r>
        <m:r>
          <m:t>e</m:t>
        </m:r>
        <m:r>
          <m:t>d</m:t>
        </m:r>
        <m:r>
          <m:t>b</m:t>
        </m:r>
        <m:r>
          <m:t>r</m:t>
        </m:r>
        <m:r>
          <m:t>a</m:t>
        </m:r>
        <m:r>
          <m:t>z</m:t>
        </m:r>
        <m:r>
          <m:t>i</m:t>
        </m:r>
        <m:r>
          <m:t>n</m:t>
        </m:r>
        <m:r>
          <m:t>g</m:t>
        </m:r>
        <m:r>
          <m:t>a</m:t>
        </m:r>
        <m:r>
          <m:t>l</m:t>
        </m:r>
        <m:r>
          <m:t>l</m:t>
        </m:r>
        <m:r>
          <m:t>o</m:t>
        </m:r>
        <m:r>
          <m:t>y</m:t>
        </m:r>
        <m:r>
          <m:t>s</m:t>
        </m:r>
        <m:r>
          <m:t>a</m:t>
        </m:r>
        <m:r>
          <m:t>n</m:t>
        </m:r>
        <m:r>
          <m:t>d</m:t>
        </m:r>
        <m:r>
          <m:t>s</m:t>
        </m:r>
        <m:r>
          <m:t>p</m:t>
        </m:r>
        <m:r>
          <m:t>e</m:t>
        </m:r>
        <m:r>
          <m:t>c</m:t>
        </m:r>
        <m:r>
          <m:t>i</m:t>
        </m:r>
        <m:r>
          <m:t>a</m:t>
        </m:r>
        <m:r>
          <m:t>l</m:t>
        </m:r>
        <m:r>
          <m:t>t</m:t>
        </m:r>
        <m:r>
          <m:t>y</m:t>
        </m:r>
        <m:r>
          <m:t>m</m:t>
        </m:r>
        <m:r>
          <m:t>e</m:t>
        </m:r>
        <m:r>
          <m:t>t</m:t>
        </m:r>
        <m:r>
          <m:t>a</m:t>
        </m:r>
        <m:r>
          <m:t>l</m:t>
        </m:r>
        <m:r>
          <m:t>c</m:t>
        </m:r>
        <m:r>
          <m:t>o</m:t>
        </m:r>
        <m:r>
          <m:t>m</m:t>
        </m:r>
        <m:r>
          <m:t>p</m:t>
        </m:r>
        <m:r>
          <m:t>o</m:t>
        </m:r>
        <m:r>
          <m:t>n</m:t>
        </m:r>
        <m:r>
          <m:t>e</m:t>
        </m:r>
        <m:r>
          <m:t>n</m:t>
        </m:r>
        <m:r>
          <m:t>t</m:t>
        </m:r>
        <m:r>
          <m:t>s</m:t>
        </m:r>
        <m:r>
          <m:rPr>
            <m:sty m:val="p"/>
          </m:rPr>
          <m:t>(</m:t>
        </m:r>
        <m:r>
          <m:t>a</m:t>
        </m:r>
        <m:r>
          <m:t>e</m:t>
        </m:r>
        <m:r>
          <m:t>r</m:t>
        </m:r>
        <m:r>
          <m:t>o</m:t>
        </m:r>
        <m:r>
          <m:t>s</m:t>
        </m:r>
        <m:r>
          <m:t>p</m:t>
        </m:r>
        <m:r>
          <m:t>a</m:t>
        </m:r>
        <m:r>
          <m:t>c</m:t>
        </m:r>
        <m:r>
          <m:t>e</m:t>
        </m:r>
        <m:r>
          <m:rPr>
            <m:sty m:val="p"/>
          </m:rPr>
          <m:t>/</m:t>
        </m:r>
        <m:r>
          <m:t>d</m:t>
        </m:r>
        <m:r>
          <m:t>e</m:t>
        </m:r>
        <m:r>
          <m:t>f</m:t>
        </m:r>
        <m:r>
          <m:t>e</m:t>
        </m:r>
        <m:r>
          <m:t>n</m:t>
        </m:r>
        <m:r>
          <m:t>s</m:t>
        </m:r>
        <m:r>
          <m:t>e</m:t>
        </m:r>
        <m:r>
          <m:t>f</m:t>
        </m:r>
        <m:r>
          <m:t>u</m:t>
        </m:r>
        <m:r>
          <m:t>e</m:t>
        </m:r>
        <m:r>
          <m:t>l</m:t>
        </m:r>
        <m:r>
          <m:t>n</m:t>
        </m:r>
        <m:r>
          <m:t>o</m:t>
        </m:r>
        <m:r>
          <m:t>z</m:t>
        </m:r>
        <m:r>
          <m:t>z</m:t>
        </m:r>
        <m:r>
          <m:t>l</m:t>
        </m:r>
        <m:r>
          <m:t>e</m:t>
        </m:r>
        <m:r>
          <m:t>s</m:t>
        </m:r>
        <m:r>
          <m:rPr>
            <m:sty m:val="p"/>
          </m:rPr>
          <m:t>,</m:t>
        </m:r>
        <m:r>
          <m:t>r</m:t>
        </m:r>
        <m:r>
          <m:t>o</m:t>
        </m:r>
        <m:r>
          <m:t>c</m:t>
        </m:r>
        <m:r>
          <m:t>k</m:t>
        </m:r>
        <m:r>
          <m:t>e</m:t>
        </m:r>
        <m:r>
          <m:t>t</m:t>
        </m:r>
        <m:r>
          <m:t>e</m:t>
        </m:r>
        <m:r>
          <m:t>n</m:t>
        </m:r>
        <m:r>
          <m:t>g</m:t>
        </m:r>
        <m:r>
          <m:t>i</m:t>
        </m:r>
        <m:r>
          <m:t>n</m:t>
        </m:r>
        <m:r>
          <m:t>e</m:t>
        </m:r>
        <m:r>
          <m:t>s</m:t>
        </m:r>
        <m:r>
          <m:rPr>
            <m:sty m:val="p"/>
          </m:rPr>
          <m:t>,</m:t>
        </m:r>
        <m:r>
          <m:t>a</m:t>
        </m:r>
        <m:r>
          <m:t>e</m:t>
        </m:r>
        <m:r>
          <m:t>r</m:t>
        </m:r>
        <m:r>
          <m:t>o</m:t>
        </m:r>
        <m:r>
          <m:t>d</m:t>
        </m:r>
        <m:r>
          <m:t>e</m:t>
        </m:r>
        <m:r>
          <m:t>r</m:t>
        </m:r>
        <m:r>
          <m:t>i</m:t>
        </m:r>
        <m:r>
          <m:t>v</m:t>
        </m:r>
        <m:r>
          <m:t>a</m:t>
        </m:r>
        <m:r>
          <m:t>t</m:t>
        </m:r>
        <m:r>
          <m:t>i</m:t>
        </m:r>
        <m:r>
          <m:t>v</m:t>
        </m:r>
        <m:r>
          <m:t>e</m:t>
        </m:r>
        <m:r>
          <m:t>t</m:t>
        </m:r>
        <m:r>
          <m:t>u</m:t>
        </m:r>
        <m:r>
          <m:t>r</m:t>
        </m:r>
        <m:r>
          <m:t>b</m:t>
        </m:r>
        <m:r>
          <m:t>i</m:t>
        </m:r>
        <m:r>
          <m:t>n</m:t>
        </m:r>
        <m:r>
          <m:t>e</m:t>
        </m:r>
        <m:r>
          <m:t>s</m:t>
        </m:r>
        <m:r>
          <m:rPr>
            <m:sty m:val="p"/>
          </m:rPr>
          <m:t>)</m:t>
        </m:r>
        <m:r>
          <m:t>w</m:t>
        </m:r>
        <m:r>
          <m:t>i</m:t>
        </m:r>
        <m:r>
          <m:t>t</m:t>
        </m:r>
        <m:r>
          <m:t>h</m:t>
        </m:r>
        <m:r>
          <m:t>r</m:t>
        </m:r>
        <m:r>
          <m:t>o</m:t>
        </m:r>
        <m:r>
          <m:t>u</m:t>
        </m:r>
        <m:r>
          <m:t>g</m:t>
        </m:r>
        <m:r>
          <m:t>h</m:t>
        </m:r>
        <m:r>
          <m:t>l</m:t>
        </m:r>
        <m:r>
          <m:t>y</m:t>
        </m:r>
        <m:r>
          <m:rPr>
            <m:sty m:val="p"/>
          </m:rPr>
          <m:t>*</m:t>
        </m:r>
        <m:r>
          <m:rPr>
            <m:sty m:val="p"/>
          </m:rPr>
          <m:t>*</m:t>
        </m:r>
      </m:oMath>
      <w:r>
        <w:t xml:space="preserve">360 million** of expected calendar-2026 revenue and a majority aftermarket-weighted, highly proprietary product mix — a classic TDG-style bolt-on. This deal has not closed and, following the Stellant precedent, will likely be excluded from guidance until it does.</w:t>
      </w:r>
    </w:p>
    <w:p>
      <w:pPr>
        <w:pStyle w:val="Compact"/>
        <w:numPr>
          <w:ilvl w:val="0"/>
          <w:numId w:val="1002"/>
        </w:numPr>
      </w:pPr>
      <w:r>
        <w:rPr>
          <w:b/>
          <w:bCs/>
        </w:rPr>
        <w:t xml:space="preserve">Governance:</w:t>
      </w:r>
      <w:r>
        <w:t xml:space="preserve"> </w:t>
      </w:r>
      <w:r>
        <w:t xml:space="preserve">TransDigm also added Stellex Capital's Krasik to its board (July 24), a data point worth watching for any read-through on capital allocation or governance direction.</w:t>
      </w:r>
    </w:p>
    <w:p>
      <w:pPr>
        <w:pStyle w:val="FirstParagraph"/>
      </w:pPr>
      <w:r>
        <w:t xml:space="preserve">On the call, expect questions on: (1) rationale for the Stellant withdrawal and whether it signals a more cautious posture on regulatory risk; (2) integration progress at Servotronics/Simmonds (both ~1 year+ in, tracking "slightly ahead" of plan per Q2 commentary) and JPE/Victor Sierra; (3) pipeline depth and mix (commercial vs. defense) following Prince &amp; Izant.</w:t>
      </w:r>
    </w:p>
    <w:p>
      <w:r>
        <w:pict>
          <v:rect style="width:0;height:1.5pt" o:hralign="center" o:hrstd="t" o:hr="t"/>
        </w:pict>
      </w:r>
    </w:p>
    <w:bookmarkEnd w:id="12"/>
    <w:bookmarkStart w:id="13" w:name="X85f19077bb8b4588dbcc449f44037d76682a074"/>
    <w:p>
      <w:pPr>
        <w:pStyle w:val="Heading2"/>
      </w:pPr>
      <w:r>
        <w:t xml:space="preserve">5. Margins, Leverage and Capital Return</w:t>
      </w:r>
    </w:p>
    <w:p>
      <w:pPr>
        <w:pStyle w:val="Compact"/>
        <w:numPr>
          <w:ilvl w:val="0"/>
          <w:numId w:val="1003"/>
        </w:numPr>
      </w:pPr>
      <w:r>
        <w:rPr>
          <w:b/>
          <w:bCs/>
        </w:rPr>
        <w:t xml:space="preserve">Margins:</w:t>
      </w:r>
      <w:r>
        <w:t xml:space="preserve"> </w:t>
      </w:r>
      <w:r>
        <w:t xml:space="preserve">Q2 EBITDA As Defined margin was 52.6%, with management guiding to ~52.3% for the full year, reflecting roughly 2 points of dilution from recent acquisitions plus 0.5–1 point of OEM/defense mix headwind, partially offset by underlying same-store margin improvement (management's long-standing framework of ~100–150 bps/year of base-business margin expansion). Watch for whether Q3 margins tick up sequentially as flagged, and for updated commentary on the acquisition-dilution drag as JPE/Victor Sierra and the pending Prince &amp; Izant deal layer in.</w:t>
      </w:r>
    </w:p>
    <w:p>
      <w:pPr>
        <w:pStyle w:val="Compact"/>
        <w:numPr>
          <w:ilvl w:val="0"/>
          <w:numId w:val="1003"/>
        </w:numPr>
      </w:pPr>
      <w:r>
        <w:rPr>
          <w:b/>
          <w:bCs/>
        </w:rPr>
        <w:t xml:space="preserve">Leverage:</w:t>
      </w:r>
      <w:r>
        <w:t xml:space="preserve"> </w:t>
      </w:r>
      <w:r>
        <w:t xml:space="preserve">Net debt/EBITDA ended Q2 at 5.6x (5.9x pro forma for closed deals), within TDG's targeted 5–7x range; EBITDA/interest coverage was 3.0x, at the high end of its 2–3x target. The company raised roughly $3.7 billion of new debt in February and April 2026 to fund M&amp;A and buybacks, and about 75% of gross debt is fixed-rate through fiscal 2029.</w:t>
      </w:r>
    </w:p>
    <w:p>
      <w:pPr>
        <w:pStyle w:val="Compact"/>
        <w:numPr>
          <w:ilvl w:val="0"/>
          <w:numId w:val="1003"/>
        </w:numPr>
      </w:pPr>
      <w:r>
        <w:rPr>
          <w:b/>
          <w:bCs/>
        </w:rPr>
        <w:t xml:space="preserve">Buybacks:</w:t>
      </w:r>
      <w:r>
        <w:t xml:space="preserve"> </w:t>
      </w:r>
      <w:r>
        <w:t xml:space="preserve">TDG repurchased ~</w:t>
      </w:r>
      <m:oMath>
        <m:r>
          <m:t>905</m:t>
        </m:r>
        <m:r>
          <m:t>m</m:t>
        </m:r>
        <m:r>
          <m:t>i</m:t>
        </m:r>
        <m:r>
          <m:t>l</m:t>
        </m:r>
        <m:r>
          <m:t>l</m:t>
        </m:r>
        <m:r>
          <m:t>i</m:t>
        </m:r>
        <m:r>
          <m:t>o</m:t>
        </m:r>
        <m:r>
          <m:t>n</m:t>
        </m:r>
        <m:r>
          <m:t>o</m:t>
        </m:r>
        <m:r>
          <m:t>f</m:t>
        </m:r>
        <m:r>
          <m:t>s</m:t>
        </m:r>
        <m:r>
          <m:t>t</m:t>
        </m:r>
        <m:r>
          <m:t>o</m:t>
        </m:r>
        <m:r>
          <m:t>c</m:t>
        </m:r>
        <m:r>
          <m:t>k</m:t>
        </m:r>
        <m:r>
          <m:t>y</m:t>
        </m:r>
        <m:r>
          <m:t>e</m:t>
        </m:r>
        <m:r>
          <m:t>a</m:t>
        </m:r>
        <m:r>
          <m:t>r</m:t>
        </m:r>
        <m:r>
          <m:rPr>
            <m:sty m:val="p"/>
          </m:rPr>
          <m:t>−</m:t>
        </m:r>
        <m:r>
          <m:t>t</m:t>
        </m:r>
        <m:r>
          <m:t>o</m:t>
        </m:r>
        <m:r>
          <m:rPr>
            <m:sty m:val="p"/>
          </m:rPr>
          <m:t>−</m:t>
        </m:r>
        <m:r>
          <m:t>d</m:t>
        </m:r>
        <m:r>
          <m:t>a</m:t>
        </m:r>
        <m:r>
          <m:t>t</m:t>
        </m:r>
        <m:r>
          <m:t>e</m:t>
        </m:r>
        <m:r>
          <m:t>t</m:t>
        </m:r>
        <m:r>
          <m:t>h</m:t>
        </m:r>
        <m:r>
          <m:t>r</m:t>
        </m:r>
        <m:r>
          <m:t>o</m:t>
        </m:r>
        <m:r>
          <m:t>u</m:t>
        </m:r>
        <m:r>
          <m:t>g</m:t>
        </m:r>
        <m:r>
          <m:t>h</m:t>
        </m:r>
        <m:r>
          <m:t>e</m:t>
        </m:r>
        <m:r>
          <m:t>a</m:t>
        </m:r>
        <m:r>
          <m:t>r</m:t>
        </m:r>
        <m:r>
          <m:t>l</m:t>
        </m:r>
        <m:r>
          <m:t>y</m:t>
        </m:r>
        <m:r>
          <m:t>A</m:t>
        </m:r>
        <m:r>
          <m:t>p</m:t>
        </m:r>
        <m:r>
          <m:t>r</m:t>
        </m:r>
        <m:r>
          <m:t>i</m:t>
        </m:r>
        <m:r>
          <m:t>l</m:t>
        </m:r>
        <m:r>
          <m:rPr>
            <m:sty m:val="p"/>
          </m:rPr>
          <m:t>(</m:t>
        </m:r>
        <m:r>
          <m:t>670</m:t>
        </m:r>
        <m:r>
          <m:rPr>
            <m:sty m:val="p"/>
          </m:rPr>
          <m:t>,</m:t>
        </m:r>
        <m:r>
          <m:t>000</m:t>
        </m:r>
        <m:r>
          <m:t>s</m:t>
        </m:r>
        <m:r>
          <m:t>h</m:t>
        </m:r>
        <m:r>
          <m:t>a</m:t>
        </m:r>
        <m:r>
          <m:t>r</m:t>
        </m:r>
        <m:r>
          <m:t>e</m:t>
        </m:r>
        <m:r>
          <m:t>s</m:t>
        </m:r>
        <m:r>
          <m:t>a</m:t>
        </m:r>
        <m:r>
          <m:t>t</m:t>
        </m:r>
        <m:r>
          <m:t> </m:t>
        </m:r>
      </m:oMath>
      <w:r>
        <w:t xml:space="preserve">1,200/share), and management reiterated a capital allocation waterfall of (1) reinvestment, (2) accretive M&amp;A, (3) buybacks/dividends, with debt paydown a distant fourth priority. Given the stock's pullback into the low-$1,200s in July, any incremental buyback activity disclosed for Q3 will be a focus.</w:t>
      </w:r>
    </w:p>
    <w:p>
      <w:r>
        <w:pict>
          <v:rect style="width:0;height:1.5pt" o:hralign="center" o:hrstd="t" o:hr="t"/>
        </w:pict>
      </w:r>
    </w:p>
    <w:bookmarkEnd w:id="13"/>
    <w:bookmarkStart w:id="14" w:name="Xce0c3829e6a6401f07e5f308ecc1fa3e462b77e"/>
    <w:p>
      <w:pPr>
        <w:pStyle w:val="Heading2"/>
      </w:pPr>
      <w:r>
        <w:t xml:space="preserve">6. Sector Backdrop</w:t>
      </w:r>
    </w:p>
    <w:p>
      <w:pPr>
        <w:pStyle w:val="FirstParagraph"/>
      </w:pPr>
      <w:r>
        <w:t xml:space="preserve">Supportive industry data points into the print include the</w:t>
      </w:r>
      <w:r>
        <w:t xml:space="preserve"> </w:t>
      </w:r>
      <w:r>
        <w:rPr>
          <w:b/>
          <w:bCs/>
        </w:rPr>
        <w:t xml:space="preserve">FAA's clearance of the smallest Boeing 737 MAX variant</w:t>
      </w:r>
      <w:r>
        <w:t xml:space="preserve"> </w:t>
      </w:r>
      <w:r>
        <w:t xml:space="preserve">to begin flying (announced August 3), continuing the narrative of steadily improving — if still "bumpy" — OEM production ramps at Boeing and Airbus that TDG flagged as a Q2 tailwind. Conversely, broader industrial/travel commentary (IAG capacity cuts, elevated jet fuel costs tied to the Middle East conflict, and Caterpillar's own flagged geopolitical overhang heading into its print) underscores that the aftermarket/travel-demand side of the story carries more two-sided risk than the OEM ramp does right now.</w:t>
      </w:r>
    </w:p>
    <w:p>
      <w:r>
        <w:pict>
          <v:rect style="width:0;height:1.5pt" o:hralign="center" o:hrstd="t" o:hr="t"/>
        </w:pict>
      </w:r>
    </w:p>
    <w:bookmarkEnd w:id="14"/>
    <w:bookmarkStart w:id="15" w:name="X8bef105fc0f19eaa68879f76e4ecd139ab36cdd"/>
    <w:p>
      <w:pPr>
        <w:pStyle w:val="Heading2"/>
      </w:pPr>
      <w:r>
        <w:t xml:space="preserve">7. What to Watch on the Call</w:t>
      </w:r>
    </w:p>
    <w:p>
      <w:pPr>
        <w:pStyle w:val="Compact"/>
        <w:numPr>
          <w:ilvl w:val="0"/>
          <w:numId w:val="1004"/>
        </w:numPr>
      </w:pPr>
      <w:r>
        <w:rPr>
          <w:b/>
          <w:bCs/>
        </w:rPr>
        <w:t xml:space="preserve">Aftermarket trajectory</w:t>
      </w:r>
      <w:r>
        <w:t xml:space="preserve"> </w:t>
      </w:r>
      <w:r>
        <w:t xml:space="preserve">— did the strong Q2 rebound (+14%) continue, or is there early evidence of Middle East-related lag effects in bookings, POS, or freight/passenger submarkets?</w:t>
      </w:r>
    </w:p>
    <w:p>
      <w:pPr>
        <w:pStyle w:val="Compact"/>
        <w:numPr>
          <w:ilvl w:val="0"/>
          <w:numId w:val="1004"/>
        </w:numPr>
      </w:pPr>
      <w:r>
        <w:rPr>
          <w:b/>
          <w:bCs/>
        </w:rPr>
        <w:t xml:space="preserve">Guidance action</w:t>
      </w:r>
      <w:r>
        <w:t xml:space="preserve"> </w:t>
      </w:r>
      <w:r>
        <w:t xml:space="preserve">— raise, reaffirm, or (less likely given the tone of recent commentary) trim the FY26 outlook; specific attention to the commercial aftermarket channel range.</w:t>
      </w:r>
    </w:p>
    <w:p>
      <w:pPr>
        <w:pStyle w:val="Compact"/>
        <w:numPr>
          <w:ilvl w:val="0"/>
          <w:numId w:val="1004"/>
        </w:numPr>
      </w:pPr>
      <w:r>
        <w:rPr>
          <w:b/>
          <w:bCs/>
        </w:rPr>
        <w:t xml:space="preserve">Margin cadence</w:t>
      </w:r>
      <w:r>
        <w:t xml:space="preserve"> </w:t>
      </w:r>
      <w:r>
        <w:t xml:space="preserve">— sequential EBITDA-margin progression and updated quantification of acquisition dilution as more deals layer in.</w:t>
      </w:r>
    </w:p>
    <w:p>
      <w:pPr>
        <w:pStyle w:val="Compact"/>
        <w:numPr>
          <w:ilvl w:val="0"/>
          <w:numId w:val="1004"/>
        </w:numPr>
      </w:pPr>
      <w:r>
        <w:rPr>
          <w:b/>
          <w:bCs/>
        </w:rPr>
        <w:t xml:space="preserve">M&amp;A commentary</w:t>
      </w:r>
      <w:r>
        <w:t xml:space="preserve"> </w:t>
      </w:r>
      <w:r>
        <w:t xml:space="preserve">— Prince &amp; Izant closing timeline/inclusion in guidance, further color on the Stellant withdrawal, and pipeline depth (~$10 billion of stated M&amp;A firepower as of Q2).</w:t>
      </w:r>
    </w:p>
    <w:p>
      <w:pPr>
        <w:pStyle w:val="Compact"/>
        <w:numPr>
          <w:ilvl w:val="0"/>
          <w:numId w:val="1004"/>
        </w:numPr>
      </w:pPr>
      <w:r>
        <w:rPr>
          <w:b/>
          <w:bCs/>
        </w:rPr>
        <w:t xml:space="preserve">Capital returns</w:t>
      </w:r>
      <w:r>
        <w:t xml:space="preserve"> </w:t>
      </w:r>
      <w:r>
        <w:t xml:space="preserve">— pace of buybacks after two debt raises this year, and leverage trajectory relative to the 5–7x target band.</w:t>
      </w:r>
    </w:p>
    <w:p>
      <w:pPr>
        <w:pStyle w:val="Compact"/>
        <w:numPr>
          <w:ilvl w:val="0"/>
          <w:numId w:val="1004"/>
        </w:numPr>
      </w:pPr>
      <w:r>
        <w:rPr>
          <w:b/>
          <w:bCs/>
        </w:rPr>
        <w:t xml:space="preserve">Early FY27 signals</w:t>
      </w:r>
      <w:r>
        <w:t xml:space="preserve"> </w:t>
      </w:r>
      <w:r>
        <w:t xml:space="preserve">— any directional comments on whether aftermarket growth normalizes lower next year, a topic already flagged by sell-side analysts.</w:t>
      </w:r>
    </w:p>
    <w:p>
      <w:r>
        <w:pict>
          <v:rect style="width:0;height:1.5pt" o:hralign="center" o:hrstd="t" o:hr="t"/>
        </w:pict>
      </w:r>
    </w:p>
    <w:bookmarkEnd w:id="15"/>
    <w:bookmarkStart w:id="16" w:name="bottom-line"/>
    <w:p>
      <w:pPr>
        <w:pStyle w:val="Heading2"/>
      </w:pPr>
      <w:r>
        <w:t xml:space="preserve">Bottom Line</w:t>
      </w:r>
    </w:p>
    <w:p>
      <w:pPr>
        <w:pStyle w:val="FirstParagraph"/>
      </w:pPr>
      <w:r>
        <w:t xml:space="preserve">TDG heads into fiscal Q3 with strong momentum (two guidance raises already this year, double-digit growth across all three channels, and a very active — if occasionally reversed — M&amp;A calendar), but also with a stock that has underperformed over the past year, a split analyst community, and a live macro risk (the Middle East conflict's lagged effect on commercial aftermarket demand) that management itself flagged as the key swing factor for the back half of fiscal 2026. The print should be less about whether TDG can execute — its track record here is well established — and more about whether the aftermarket demand backdrop and margin trajectory hold up well enough to justify both the current guidance and the stock's still-premium valuation.</w:t>
      </w:r>
    </w:p>
    <w:bookmarkEnd w:id="16"/>
    <w:bookmarkEnd w:id="1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2026-08-04T01:16:54Z</dcterms:created>
  <dcterms:modified xsi:type="dcterms:W3CDTF">2026-08-04T01:16:54Z</dcterms:modified>
</cp:coreProperties>
</file>

<file path=docProps/custom.xml><?xml version="1.0" encoding="utf-8"?>
<Properties xmlns="http://schemas.openxmlformats.org/officeDocument/2006/custom-properties" xmlns:vt="http://schemas.openxmlformats.org/officeDocument/2006/docPropsVTypes"/>
</file>