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tdg-fiscal-2026-q3-earnings-preview"/>
    <w:p>
      <w:pPr>
        <w:pStyle w:val="Heading1"/>
      </w:pPr>
      <w:r>
        <w:t xml:space="preserve">TDG Fiscal 2026 Q3 Earnings Preview</w:t>
      </w:r>
    </w:p>
    <w:p>
      <w:pPr>
        <w:pStyle w:val="BlockText"/>
      </w:pPr>
      <w:r>
        <w:rPr>
          <w:b/>
          <w:bCs/>
        </w:rPr>
        <w:t xml:space="preserve">Timing clarification:</w:t>
      </w:r>
      <w:r>
        <w:t xml:space="preserve"> </w:t>
      </w:r>
      <w:r>
        <w:t xml:space="preserve">The supplied event date—</w:t>
      </w:r>
      <w:r>
        <w:rPr>
          <w:b/>
          <w:bCs/>
        </w:rPr>
        <w:t xml:space="preserve">Tuesday, August 4, 2026</w:t>
      </w:r>
      <w:r>
        <w:t xml:space="preserve">—is today, not tomorrow. TransDigm is scheduled to report before the market opens, with its conference call at</w:t>
      </w:r>
      <w:r>
        <w:t xml:space="preserve"> </w:t>
      </w:r>
      <w:r>
        <w:rPr>
          <w:b/>
          <w:bCs/>
        </w:rPr>
        <w:t xml:space="preserve">11:00 a.m. EDT</w:t>
      </w:r>
      <w:r>
        <w:t xml:space="preserve">. (</w:t>
      </w:r>
      <w:hyperlink r:id="rId9">
        <w:r>
          <w:rPr>
            <w:rStyle w:val="Hyperlink"/>
          </w:rPr>
          <w:t xml:space="preserve">transdigmgroupinc.gcs-web.com</w:t>
        </w:r>
      </w:hyperlink>
      <w:r>
        <w:t xml:space="preserve">)</w:t>
      </w:r>
    </w:p>
    <w:bookmarkStart w:id="10" w:name="executive-view"/>
    <w:p>
      <w:pPr>
        <w:pStyle w:val="Heading2"/>
      </w:pPr>
      <w:r>
        <w:t xml:space="preserve">Executive view</w:t>
      </w:r>
    </w:p>
    <w:p>
      <w:pPr>
        <w:pStyle w:val="FirstParagraph"/>
      </w:pPr>
      <w:r>
        <w:t xml:space="preserve">The key question is not whether TransDigm can produce another earnings beat. The company’s proprietary-product portfolio, pricing discipline and aftermarket exposure make modest upside relatively common. The more consequential questions are:</w:t>
      </w:r>
    </w:p>
    <w:p>
      <w:pPr>
        <w:pStyle w:val="Compact"/>
        <w:numPr>
          <w:ilvl w:val="0"/>
          <w:numId w:val="1001"/>
        </w:numPr>
      </w:pPr>
      <w:r>
        <w:rPr>
          <w:b/>
          <w:bCs/>
        </w:rPr>
        <w:t xml:space="preserve">Has commercial aftermarket demand held up despite Middle East disruptions and elevated fuel costs?</w:t>
      </w:r>
    </w:p>
    <w:p>
      <w:pPr>
        <w:pStyle w:val="Compact"/>
        <w:numPr>
          <w:ilvl w:val="0"/>
          <w:numId w:val="1001"/>
        </w:numPr>
      </w:pPr>
      <w:r>
        <w:rPr>
          <w:b/>
          <w:bCs/>
        </w:rPr>
        <w:t xml:space="preserve">Can strong bookings translate into sustained organic growth across aftermarket, OEM and defense?</w:t>
      </w:r>
    </w:p>
    <w:p>
      <w:pPr>
        <w:pStyle w:val="Compact"/>
        <w:numPr>
          <w:ilvl w:val="0"/>
          <w:numId w:val="1001"/>
        </w:numPr>
      </w:pPr>
      <w:r>
        <w:rPr>
          <w:b/>
          <w:bCs/>
        </w:rPr>
        <w:t xml:space="preserve">Are acquisition-related margin dilution and rising interest expense tracking as expected?</w:t>
      </w:r>
    </w:p>
    <w:p>
      <w:pPr>
        <w:pStyle w:val="Compact"/>
        <w:numPr>
          <w:ilvl w:val="0"/>
          <w:numId w:val="1001"/>
        </w:numPr>
      </w:pPr>
      <w:r>
        <w:rPr>
          <w:b/>
          <w:bCs/>
        </w:rPr>
        <w:t xml:space="preserve">Will management raise full-year guidance again—and what does it imply for fiscal 2027?</w:t>
      </w:r>
    </w:p>
    <w:p>
      <w:pPr>
        <w:pStyle w:val="Compact"/>
        <w:numPr>
          <w:ilvl w:val="0"/>
          <w:numId w:val="1001"/>
        </w:numPr>
      </w:pPr>
      <w:r>
        <w:rPr>
          <w:b/>
          <w:bCs/>
        </w:rPr>
        <w:t xml:space="preserve">How will the company redeploy capital after abandoning Stellant and agreeing to acquire Prince &amp; Izant?</w:t>
      </w:r>
    </w:p>
    <w:p>
      <w:pPr>
        <w:pStyle w:val="FirstParagraph"/>
      </w:pPr>
      <w:r>
        <w:t xml:space="preserve">The setup is constructive operationally but less forgiving from a valuation standpoint. Investors will likely require healthy organic growth, stable underlying margins and reassuring commentary on commercial aftermarket demand—not merely an EPS beat.</w:t>
      </w:r>
    </w:p>
    <w:bookmarkEnd w:id="10"/>
    <w:bookmarkStart w:id="13" w:name="the-reported-numbers-to-watch"/>
    <w:p>
      <w:pPr>
        <w:pStyle w:val="Heading2"/>
      </w:pPr>
      <w:r>
        <w:t xml:space="preserve">The reported numbers to watch</w:t>
      </w:r>
    </w:p>
    <w:p>
      <w:pPr>
        <w:pStyle w:val="FirstParagraph"/>
      </w:pPr>
      <w:r>
        <w:t xml:space="preserve">Third-party estimates vary slightly: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Street expectation</w:t>
            </w:r>
          </w:p>
        </w:tc>
        <w:tc>
          <w:tcPr/>
          <w:p>
            <w:pPr>
              <w:pStyle w:val="Compact"/>
              <w:jc w:val="right"/>
            </w:pPr>
            <w:r>
              <w:t xml:space="preserve">Fiscal Q3 2025</w:t>
            </w:r>
          </w:p>
        </w:tc>
        <w:tc>
          <w:tcPr/>
          <w:p>
            <w:pPr>
              <w:pStyle w:val="Compact"/>
              <w:jc w:val="right"/>
            </w:pPr>
            <w:r>
              <w:t xml:space="preserve">Implied growth</w:t>
            </w:r>
          </w:p>
        </w:tc>
      </w:tr>
      <w:tr>
        <w:tc>
          <w:tcPr/>
          <w:p>
            <w:pPr>
              <w:pStyle w:val="Compact"/>
            </w:pPr>
            <w:r>
              <w:t xml:space="preserve">Revenue</w:t>
            </w:r>
          </w:p>
        </w:tc>
        <w:tc>
          <w:tcPr/>
          <w:p>
            <w:pPr>
              <w:pStyle w:val="Compact"/>
              <w:jc w:val="right"/>
            </w:pPr>
            <m:oMath>
              <m:r>
                <m:t>2.66</m:t>
              </m:r>
              <m:r>
                <m:t>B</m:t>
              </m:r>
              <m:r>
                <m:rPr>
                  <m:sty m:val="p"/>
                </m:rPr>
                <m:t>–</m:t>
              </m:r>
            </m:oMath>
            <w:r>
              <w:rPr>
                <w:b/>
                <w:bCs/>
              </w:rPr>
              <w:t xml:space="preserve">2.68B</w:t>
            </w:r>
          </w:p>
        </w:tc>
        <w:tc>
          <w:tcPr/>
          <w:p>
            <w:pPr>
              <w:pStyle w:val="Compact"/>
              <w:jc w:val="right"/>
            </w:pPr>
            <w:r>
              <w:t xml:space="preserve">$2.237B</w:t>
            </w:r>
          </w:p>
        </w:tc>
        <w:tc>
          <w:tcPr/>
          <w:p>
            <w:pPr>
              <w:pStyle w:val="Compact"/>
              <w:jc w:val="right"/>
            </w:pPr>
            <w:r>
              <w:t xml:space="preserve">Approximately 19%–20%</w:t>
            </w:r>
          </w:p>
        </w:tc>
      </w:tr>
      <w:tr>
        <w:tc>
          <w:tcPr/>
          <w:p>
            <w:pPr>
              <w:pStyle w:val="Compact"/>
            </w:pPr>
            <w:r>
              <w:t xml:space="preserve">Adjusted EPS</w:t>
            </w:r>
          </w:p>
        </w:tc>
        <w:tc>
          <w:tcPr/>
          <w:p>
            <w:pPr>
              <w:pStyle w:val="Compact"/>
              <w:jc w:val="right"/>
            </w:pPr>
            <m:oMath>
              <m:r>
                <m:t>10.15</m:t>
              </m:r>
              <m:r>
                <m:rPr>
                  <m:sty m:val="p"/>
                </m:rPr>
                <m:t>–</m:t>
              </m:r>
            </m:oMath>
            <w:r>
              <w:rPr>
                <w:b/>
                <w:bCs/>
              </w:rPr>
              <w:t xml:space="preserve">10.30</w:t>
            </w:r>
          </w:p>
        </w:tc>
        <w:tc>
          <w:tcPr/>
          <w:p>
            <w:pPr>
              <w:pStyle w:val="Compact"/>
              <w:jc w:val="right"/>
            </w:pPr>
            <w:r>
              <w:t xml:space="preserve">$9.60</w:t>
            </w:r>
          </w:p>
        </w:tc>
        <w:tc>
          <w:tcPr/>
          <w:p>
            <w:pPr>
              <w:pStyle w:val="Compact"/>
              <w:jc w:val="right"/>
            </w:pPr>
            <w:r>
              <w:t xml:space="preserve">Approximately 6%–7%</w:t>
            </w:r>
          </w:p>
        </w:tc>
      </w:tr>
    </w:tbl>
    <w:p>
      <w:pPr>
        <w:pStyle w:val="BodyText"/>
      </w:pPr>
      <w:r>
        <w:t xml:space="preserve">The estimate range reflects differences between aggregators rather than official company guidance. (</w:t>
      </w:r>
      <w:hyperlink r:id="rId11">
        <w:r>
          <w:rPr>
            <w:rStyle w:val="Hyperlink"/>
          </w:rPr>
          <w:t xml:space="preserve">marketbeat.com</w:t>
        </w:r>
      </w:hyperlink>
      <w:r>
        <w:t xml:space="preserve">)</w:t>
      </w:r>
    </w:p>
    <w:p>
      <w:pPr>
        <w:pStyle w:val="BodyText"/>
      </w:pPr>
      <w:r>
        <w:t xml:space="preserve">In Q2, TransDigm reported $2.544 billion of revenue, 11% organic growth, $1.337 billion of EBITDA As Defined and a 52.6% margin. Adjusted EPS was $9.85. Management subsequently raised fiscal 2026 guidance to:</w:t>
      </w:r>
    </w:p>
    <w:p>
      <w:pPr>
        <w:pStyle w:val="Compact"/>
        <w:numPr>
          <w:ilvl w:val="0"/>
          <w:numId w:val="1002"/>
        </w:numPr>
      </w:pPr>
      <w:r>
        <w:rPr>
          <w:b/>
          <w:bCs/>
        </w:rPr>
        <w:t xml:space="preserve">Revenue:</w:t>
      </w:r>
      <w:r>
        <w:t xml:space="preserve"> </w:t>
      </w:r>
      <m:oMath>
        <m:r>
          <m:t>10.30</m:t>
        </m:r>
        <m:r>
          <m:t>B</m:t>
        </m:r>
        <m:r>
          <m:rPr>
            <m:sty m:val="p"/>
          </m:rPr>
          <m:t>–</m:t>
        </m:r>
      </m:oMath>
      <w:r>
        <w:t xml:space="preserve">10.42B</w:t>
      </w:r>
    </w:p>
    <w:p>
      <w:pPr>
        <w:pStyle w:val="Compact"/>
        <w:numPr>
          <w:ilvl w:val="0"/>
          <w:numId w:val="1002"/>
        </w:numPr>
      </w:pPr>
      <w:r>
        <w:rPr>
          <w:b/>
          <w:bCs/>
        </w:rPr>
        <w:t xml:space="preserve">EBITDA As Defined:</w:t>
      </w:r>
      <w:r>
        <w:t xml:space="preserve"> </w:t>
      </w:r>
      <m:oMath>
        <m:r>
          <m:t>5.37</m:t>
        </m:r>
        <m:r>
          <m:t>B</m:t>
        </m:r>
        <m:r>
          <m:rPr>
            <m:sty m:val="p"/>
          </m:rPr>
          <m:t>–</m:t>
        </m:r>
      </m:oMath>
      <w:r>
        <w:t xml:space="preserve">5.47B</w:t>
      </w:r>
    </w:p>
    <w:p>
      <w:pPr>
        <w:pStyle w:val="Compact"/>
        <w:numPr>
          <w:ilvl w:val="0"/>
          <w:numId w:val="1002"/>
        </w:numPr>
      </w:pPr>
      <w:r>
        <w:rPr>
          <w:b/>
          <w:bCs/>
        </w:rPr>
        <w:t xml:space="preserve">Adjusted EPS:</w:t>
      </w:r>
      <w:r>
        <w:t xml:space="preserve"> </w:t>
      </w:r>
      <m:oMath>
        <m:r>
          <m:t>38.83</m:t>
        </m:r>
        <m:r>
          <m:rPr>
            <m:sty m:val="p"/>
          </m:rPr>
          <m:t>–</m:t>
        </m:r>
      </m:oMath>
      <w:r>
        <w:t xml:space="preserve">40.21</w:t>
      </w:r>
    </w:p>
    <w:p>
      <w:pPr>
        <w:pStyle w:val="Compact"/>
        <w:numPr>
          <w:ilvl w:val="0"/>
          <w:numId w:val="1002"/>
        </w:numPr>
      </w:pPr>
      <w:r>
        <w:rPr>
          <w:b/>
          <w:bCs/>
        </w:rPr>
        <w:t xml:space="preserve">Expected EBITDA margin:</w:t>
      </w:r>
      <w:r>
        <w:t xml:space="preserve"> </w:t>
      </w:r>
      <w:r>
        <w:t xml:space="preserve">approximately 52.3% (</w:t>
      </w:r>
      <w:hyperlink r:id="rId12">
        <w:r>
          <w:rPr>
            <w:rStyle w:val="Hyperlink"/>
          </w:rPr>
          <w:t xml:space="preserve">transdigmgroupinc.gcs-web.com</w:t>
        </w:r>
      </w:hyperlink>
      <w:r>
        <w:t xml:space="preserve">)</w:t>
      </w:r>
    </w:p>
    <w:p>
      <w:pPr>
        <w:pStyle w:val="FirstParagraph"/>
      </w:pPr>
      <w:r>
        <w:t xml:space="preserve">At the Street’s approximately</w:t>
      </w:r>
      <w:r>
        <w:t xml:space="preserve"> </w:t>
      </w:r>
      <m:oMath>
        <m:r>
          <m:t>2.66</m:t>
        </m:r>
        <m:r>
          <m:t>b</m:t>
        </m:r>
        <m:r>
          <m:t>i</m:t>
        </m:r>
        <m:r>
          <m:t>l</m:t>
        </m:r>
        <m:r>
          <m:t>l</m:t>
        </m:r>
        <m:r>
          <m:t>i</m:t>
        </m:r>
        <m:r>
          <m:t>o</m:t>
        </m:r>
        <m:r>
          <m:t>n</m:t>
        </m:r>
        <m:r>
          <m:t>r</m:t>
        </m:r>
        <m:r>
          <m:t>e</m:t>
        </m:r>
        <m:r>
          <m:t>v</m:t>
        </m:r>
        <m:r>
          <m:t>e</m:t>
        </m:r>
        <m:r>
          <m:t>n</m:t>
        </m:r>
        <m:r>
          <m:t>u</m:t>
        </m:r>
        <m:r>
          <m:t>e</m:t>
        </m:r>
        <m:r>
          <m:t>f</m:t>
        </m:r>
        <m:r>
          <m:t>o</m:t>
        </m:r>
        <m:r>
          <m:t>r</m:t>
        </m:r>
        <m:r>
          <m:t>e</m:t>
        </m:r>
        <m:r>
          <m:t>c</m:t>
        </m:r>
        <m:r>
          <m:t>a</m:t>
        </m:r>
        <m:r>
          <m:t>s</m:t>
        </m:r>
        <m:r>
          <m:t>t</m:t>
        </m:r>
        <m:r>
          <m:rPr>
            <m:sty m:val="p"/>
          </m:rPr>
          <m:t>,</m:t>
        </m:r>
        <m:r>
          <m:t>a</m:t>
        </m:r>
        <m:r>
          <m:t>p</m:t>
        </m:r>
        <m:r>
          <m:t>p</m:t>
        </m:r>
        <m:r>
          <m:t>l</m:t>
        </m:r>
        <m:r>
          <m:t>y</m:t>
        </m:r>
        <m:r>
          <m:t>i</m:t>
        </m:r>
        <m:r>
          <m:t>n</m:t>
        </m:r>
        <m:r>
          <m:t>g</m:t>
        </m:r>
        <m:r>
          <m:t>t</m:t>
        </m:r>
        <m:r>
          <m:t>h</m:t>
        </m:r>
        <m:r>
          <m:t>e</m:t>
        </m:r>
        <m:r>
          <m:t>f</m:t>
        </m:r>
        <m:r>
          <m:t>u</m:t>
        </m:r>
        <m:r>
          <m:t>l</m:t>
        </m:r>
        <m:r>
          <m:t>l</m:t>
        </m:r>
        <m:r>
          <m:rPr>
            <m:sty m:val="p"/>
          </m:rPr>
          <m:t>−</m:t>
        </m:r>
        <m:r>
          <m:t>y</m:t>
        </m:r>
        <m:r>
          <m:t>e</m:t>
        </m:r>
        <m:r>
          <m:t>a</m:t>
        </m:r>
        <m:r>
          <m:t>r</m:t>
        </m:r>
        <m:r>
          <m:t>m</m:t>
        </m:r>
        <m:r>
          <m:t>a</m:t>
        </m:r>
        <m:r>
          <m:t>r</m:t>
        </m:r>
        <m:r>
          <m:t>g</m:t>
        </m:r>
        <m:r>
          <m:t>i</m:t>
        </m:r>
        <m:r>
          <m:t>n</m:t>
        </m:r>
        <m:r>
          <m:t>t</m:t>
        </m:r>
        <m:r>
          <m:t>a</m:t>
        </m:r>
        <m:r>
          <m:t>r</m:t>
        </m:r>
        <m:r>
          <m:t>g</m:t>
        </m:r>
        <m:r>
          <m:t>e</m:t>
        </m:r>
        <m:r>
          <m:t>t</m:t>
        </m:r>
        <m:r>
          <m:t>w</m:t>
        </m:r>
        <m:r>
          <m:t>o</m:t>
        </m:r>
        <m:r>
          <m:t>u</m:t>
        </m:r>
        <m:r>
          <m:t>l</m:t>
        </m:r>
        <m:r>
          <m:t>d</m:t>
        </m:r>
        <m:r>
          <m:t>i</m:t>
        </m:r>
        <m:r>
          <m:t>m</m:t>
        </m:r>
        <m:r>
          <m:t>p</m:t>
        </m:r>
        <m:r>
          <m:t>l</m:t>
        </m:r>
        <m:r>
          <m:t>y</m:t>
        </m:r>
        <m:r>
          <m:t>r</m:t>
        </m:r>
        <m:r>
          <m:t>o</m:t>
        </m:r>
        <m:r>
          <m:t>u</m:t>
        </m:r>
        <m:r>
          <m:t>g</m:t>
        </m:r>
        <m:r>
          <m:t>h</m:t>
        </m:r>
        <m:r>
          <m:t>l</m:t>
        </m:r>
        <m:r>
          <m:t>y</m:t>
        </m:r>
        <m:r>
          <m:rPr>
            <m:sty m:val="p"/>
          </m:rPr>
          <m:t>*</m:t>
        </m:r>
        <m:r>
          <m:rPr>
            <m:sty m:val="p"/>
          </m:rPr>
          <m:t>*</m:t>
        </m:r>
      </m:oMath>
      <w:r>
        <w:t xml:space="preserve">1.39 billion of quarterly EBITDA As Defined**. That is not a formal consensus figure, but it provides a reasonable benchmark for judging margin quality.</w:t>
      </w:r>
    </w:p>
    <w:bookmarkEnd w:id="13"/>
    <w:bookmarkStart w:id="14" w:name="Xb7a58aebd211b7819490b665df03cfefee89b5b"/>
    <w:p>
      <w:pPr>
        <w:pStyle w:val="Heading2"/>
      </w:pPr>
      <w:r>
        <w:t xml:space="preserve">1. Commercial aftermarket is the main swing factor</w:t>
      </w:r>
    </w:p>
    <w:p>
      <w:pPr>
        <w:pStyle w:val="FirstParagraph"/>
      </w:pPr>
      <w:r>
        <w:t xml:space="preserve">Commercial aftermarket was the strongest part of Q2. Total aftermarket revenue increased approximately 14%, while commercial transport aftermarket grew 16%. Management also said engine and passenger products were particularly strong and that prior distribution-channel destocking had largely moved behind the company.</w:t>
      </w:r>
    </w:p>
    <w:p>
      <w:pPr>
        <w:pStyle w:val="BodyText"/>
      </w:pPr>
      <w:r>
        <w:t xml:space="preserve">That momentum is now being tested by the Middle East conflict. In May, management noted that global flight activity had softened but said aftermarket ordering had not materially changed, including among directly affected Middle Eastern airlines. It nevertheless warned that any impact could appear with a lag.</w:t>
      </w:r>
    </w:p>
    <w:p>
      <w:pPr>
        <w:pStyle w:val="BodyText"/>
      </w:pPr>
      <w:r>
        <w:t xml:space="preserve">For Q3, listen for:</w:t>
      </w:r>
    </w:p>
    <w:p>
      <w:pPr>
        <w:pStyle w:val="Compact"/>
        <w:numPr>
          <w:ilvl w:val="0"/>
          <w:numId w:val="1003"/>
        </w:numPr>
      </w:pPr>
      <w:r>
        <w:t xml:space="preserve">Organic commercial aftermarket growth remaining around double digits.</w:t>
      </w:r>
    </w:p>
    <w:p>
      <w:pPr>
        <w:pStyle w:val="Compact"/>
        <w:numPr>
          <w:ilvl w:val="0"/>
          <w:numId w:val="1003"/>
        </w:numPr>
      </w:pPr>
      <w:r>
        <w:t xml:space="preserve">Continued strength in engine and passenger-related products.</w:t>
      </w:r>
    </w:p>
    <w:p>
      <w:pPr>
        <w:pStyle w:val="Compact"/>
        <w:numPr>
          <w:ilvl w:val="0"/>
          <w:numId w:val="1003"/>
        </w:numPr>
      </w:pPr>
      <w:r>
        <w:t xml:space="preserve">Distributor point-of-sale growth and inventory levels.</w:t>
      </w:r>
    </w:p>
    <w:p>
      <w:pPr>
        <w:pStyle w:val="Compact"/>
        <w:numPr>
          <w:ilvl w:val="0"/>
          <w:numId w:val="1003"/>
        </w:numPr>
      </w:pPr>
      <w:r>
        <w:t xml:space="preserve">Changes in airline ordering behavior since April.</w:t>
      </w:r>
    </w:p>
    <w:p>
      <w:pPr>
        <w:pStyle w:val="Compact"/>
        <w:numPr>
          <w:ilvl w:val="0"/>
          <w:numId w:val="1003"/>
        </w:numPr>
      </w:pPr>
      <w:r>
        <w:t xml:space="preserve">Any reduction in discretionary maintenance or interior spending.</w:t>
      </w:r>
    </w:p>
    <w:p>
      <w:pPr>
        <w:pStyle w:val="Compact"/>
        <w:numPr>
          <w:ilvl w:val="0"/>
          <w:numId w:val="1003"/>
        </w:numPr>
      </w:pPr>
      <w:r>
        <w:t xml:space="preserve">Management’s first substantive view of fiscal 2027 aftermarket conditions.</w:t>
      </w:r>
    </w:p>
    <w:p>
      <w:pPr>
        <w:pStyle w:val="FirstParagraph"/>
      </w:pPr>
      <w:r>
        <w:rPr>
          <w:b/>
          <w:bCs/>
        </w:rPr>
        <w:t xml:space="preserve">Bullish outcome:</w:t>
      </w:r>
      <w:r>
        <w:t xml:space="preserve"> </w:t>
      </w:r>
      <w:r>
        <w:t xml:space="preserve">Aftermarket remains double-digit, bookings exceed shipments and management sees no broad demand deterioration.</w:t>
      </w:r>
    </w:p>
    <w:p>
      <w:pPr>
        <w:pStyle w:val="BodyText"/>
      </w:pPr>
      <w:r>
        <w:rPr>
          <w:b/>
          <w:bCs/>
        </w:rPr>
        <w:t xml:space="preserve">Bearish outcome:</w:t>
      </w:r>
      <w:r>
        <w:t xml:space="preserve"> </w:t>
      </w:r>
      <w:r>
        <w:t xml:space="preserve">Orders weakened late in the quarter, especially outside the Middle East, or management introduces a more cautious fiscal 2027 framework.</w:t>
      </w:r>
    </w:p>
    <w:bookmarkEnd w:id="14"/>
    <w:bookmarkStart w:id="16" w:name="Xa41b983fb1e56786fb973ebaec533c35989a9d1"/>
    <w:p>
      <w:pPr>
        <w:pStyle w:val="Heading2"/>
      </w:pPr>
      <w:r>
        <w:t xml:space="preserve">2. Commercial OEM should show a strong comparison—but execution matters</w:t>
      </w:r>
    </w:p>
    <w:p>
      <w:pPr>
        <w:pStyle w:val="FirstParagraph"/>
      </w:pPr>
      <w:r>
        <w:t xml:space="preserve">In Q2, commercial OEM revenue increased approximately 12%, while commercial transport OEM revenue rose 19%. Bookings meaningfully exceeded sales as Boeing and Airbus continued working toward higher production rates.</w:t>
      </w:r>
    </w:p>
    <w:p>
      <w:pPr>
        <w:pStyle w:val="BodyText"/>
      </w:pPr>
      <w:r>
        <w:t xml:space="preserve">The year-over-year comparison is favorable because fiscal Q3 2025 was disrupted by lower OEM build rates, inventory destocking and lingering effects from Boeing production issues. Last year, commercial OEM weakness caused TransDigm to reduce its revenue outlook even as it raised EBITDA guidance. (</w:t>
      </w:r>
      <w:hyperlink r:id="rId15">
        <w:r>
          <w:rPr>
            <w:rStyle w:val="Hyperlink"/>
          </w:rPr>
          <w:t xml:space="preserve">reddit.com</w:t>
        </w:r>
      </w:hyperlink>
      <w:r>
        <w:t xml:space="preserve">)</w:t>
      </w:r>
    </w:p>
    <w:p>
      <w:pPr>
        <w:pStyle w:val="BodyText"/>
      </w:pPr>
      <w:r>
        <w:t xml:space="preserve">Investors should therefore distinguish between:</w:t>
      </w:r>
    </w:p>
    <w:p>
      <w:pPr>
        <w:pStyle w:val="Compact"/>
        <w:numPr>
          <w:ilvl w:val="0"/>
          <w:numId w:val="1004"/>
        </w:numPr>
      </w:pPr>
      <w:r>
        <w:rPr>
          <w:b/>
          <w:bCs/>
        </w:rPr>
        <w:t xml:space="preserve">Headline OEM growth</w:t>
      </w:r>
      <w:r>
        <w:t xml:space="preserve">, which should be strong;</w:t>
      </w:r>
    </w:p>
    <w:p>
      <w:pPr>
        <w:pStyle w:val="Compact"/>
        <w:numPr>
          <w:ilvl w:val="0"/>
          <w:numId w:val="1004"/>
        </w:numPr>
      </w:pPr>
      <w:r>
        <w:rPr>
          <w:b/>
          <w:bCs/>
        </w:rPr>
        <w:t xml:space="preserve">Sequential shipment conversion</w:t>
      </w:r>
      <w:r>
        <w:t xml:space="preserve">, which indicates whether production ramps are progressing;</w:t>
      </w:r>
    </w:p>
    <w:p>
      <w:pPr>
        <w:pStyle w:val="Compact"/>
        <w:numPr>
          <w:ilvl w:val="0"/>
          <w:numId w:val="1004"/>
        </w:numPr>
      </w:pPr>
      <w:r>
        <w:rPr>
          <w:b/>
          <w:bCs/>
        </w:rPr>
        <w:t xml:space="preserve">Bookings and backlog</w:t>
      </w:r>
      <w:r>
        <w:t xml:space="preserve">, which matter more for the fiscal 2027 outlook; and</w:t>
      </w:r>
    </w:p>
    <w:p>
      <w:pPr>
        <w:pStyle w:val="Compact"/>
        <w:numPr>
          <w:ilvl w:val="0"/>
          <w:numId w:val="1004"/>
        </w:numPr>
      </w:pPr>
      <w:r>
        <w:rPr>
          <w:b/>
          <w:bCs/>
        </w:rPr>
        <w:t xml:space="preserve">Customer inventory behavior</w:t>
      </w:r>
      <w:r>
        <w:t xml:space="preserve">, which was a major problem a year ago.</w:t>
      </w:r>
    </w:p>
    <w:p>
      <w:pPr>
        <w:pStyle w:val="FirstParagraph"/>
      </w:pPr>
      <w:r>
        <w:t xml:space="preserve">A strong quarter would include mid-teens-or-better OEM growth without a meaningful increase in schedule volatility or customer destocking.</w:t>
      </w:r>
    </w:p>
    <w:bookmarkEnd w:id="16"/>
    <w:bookmarkStart w:id="17" w:name="Xc47de6a7324492379673ba6c86b44f5058d0f90"/>
    <w:p>
      <w:pPr>
        <w:pStyle w:val="Heading2"/>
      </w:pPr>
      <w:r>
        <w:t xml:space="preserve">3. Defense provides a useful stabilizer</w:t>
      </w:r>
    </w:p>
    <w:p>
      <w:pPr>
        <w:pStyle w:val="FirstParagraph"/>
      </w:pPr>
      <w:r>
        <w:t xml:space="preserve">Defense revenue increased approximately 11% in Q2, with bookings outpacing sales and management pointing to backlog supporting growth into fiscal 2027. The company’s full-year assumption calls for high-single-digit defense growth.</w:t>
      </w:r>
    </w:p>
    <w:p>
      <w:pPr>
        <w:pStyle w:val="BodyText"/>
      </w:pPr>
      <w:r>
        <w:t xml:space="preserve">Given the current geopolitical environment and elevated defense spending, the risk appears less about demand and more about the timing of shipments, procurement and program awards. Defense can be lumpy quarter to quarter, so bookings and backlog commentary may be more informative than reported revenue alone.</w:t>
      </w:r>
    </w:p>
    <w:p>
      <w:pPr>
        <w:pStyle w:val="BodyText"/>
      </w:pPr>
      <w:r>
        <w:t xml:space="preserve">A balanced result—with defense growth around high single digits or better—would help offset any moderation in commercial aftermarket.</w:t>
      </w:r>
    </w:p>
    <w:bookmarkEnd w:id="17"/>
    <w:bookmarkStart w:id="18" w:name="X1ba8d5929ef8df8997a170b1055117431aa1080"/>
    <w:p>
      <w:pPr>
        <w:pStyle w:val="Heading2"/>
      </w:pPr>
      <w:r>
        <w:t xml:space="preserve">4. Margin quality matters more than the reported percentage</w:t>
      </w:r>
    </w:p>
    <w:p>
      <w:pPr>
        <w:pStyle w:val="FirstParagraph"/>
      </w:pPr>
      <w:r>
        <w:t xml:space="preserve">Fiscal Q2’s 52.6% EBITDA As Defined margin was down from 54.0% a year earlier, but recent acquisitions accounted for approximately two percentage points of dilution. Management said the underlying businesses continued to improve and reiterated that comparable businesses typically target annual margin expansion of roughly 100–150 basis points.</w:t>
      </w:r>
    </w:p>
    <w:p>
      <w:pPr>
        <w:pStyle w:val="BodyText"/>
      </w:pPr>
      <w:r>
        <w:t xml:space="preserve">The relevant Q3 questions are:</w:t>
      </w:r>
    </w:p>
    <w:p>
      <w:pPr>
        <w:pStyle w:val="Compact"/>
        <w:numPr>
          <w:ilvl w:val="0"/>
          <w:numId w:val="1005"/>
        </w:numPr>
      </w:pPr>
      <w:r>
        <w:t xml:space="preserve">Are Servotronics and Simmonds improving faster than initially expected?</w:t>
      </w:r>
    </w:p>
    <w:p>
      <w:pPr>
        <w:pStyle w:val="Compact"/>
        <w:numPr>
          <w:ilvl w:val="0"/>
          <w:numId w:val="1005"/>
        </w:numPr>
      </w:pPr>
      <w:r>
        <w:t xml:space="preserve">What is the initial margin profile of Jet Parts Engineering and Victor Sierra?</w:t>
      </w:r>
    </w:p>
    <w:p>
      <w:pPr>
        <w:pStyle w:val="Compact"/>
        <w:numPr>
          <w:ilvl w:val="0"/>
          <w:numId w:val="1005"/>
        </w:numPr>
      </w:pPr>
      <w:r>
        <w:t xml:space="preserve">Is stronger commercial aftermarket mix offsetting lower-margin OEM and defense growth?</w:t>
      </w:r>
    </w:p>
    <w:p>
      <w:pPr>
        <w:pStyle w:val="Compact"/>
        <w:numPr>
          <w:ilvl w:val="0"/>
          <w:numId w:val="1005"/>
        </w:numPr>
      </w:pPr>
      <w:r>
        <w:t xml:space="preserve">Does total acquisition dilution remain around two percentage points?</w:t>
      </w:r>
    </w:p>
    <w:p>
      <w:pPr>
        <w:pStyle w:val="Compact"/>
        <w:numPr>
          <w:ilvl w:val="0"/>
          <w:numId w:val="1005"/>
        </w:numPr>
      </w:pPr>
      <w:r>
        <w:t xml:space="preserve">Can the company maintain approximately 52.3% for the full year despite the heavier acquisition mix?</w:t>
      </w:r>
    </w:p>
    <w:p>
      <w:pPr>
        <w:pStyle w:val="FirstParagraph"/>
      </w:pPr>
      <w:r>
        <w:t xml:space="preserve">A reported margin near 52% could still be satisfactory if underlying margins expand and acquired-company integration is ahead of plan. Conversely, a higher headline margin driven primarily by mix or timing would be less compelling.</w:t>
      </w:r>
    </w:p>
    <w:bookmarkEnd w:id="18"/>
    <w:bookmarkStart w:id="20" w:name="Xc63d86cae11ff084e41b01bd94127ad8cf959aa"/>
    <w:p>
      <w:pPr>
        <w:pStyle w:val="Heading2"/>
      </w:pPr>
      <w:r>
        <w:t xml:space="preserve">5. Full-year guidance may be the real catalyst</w:t>
      </w:r>
    </w:p>
    <w:p>
      <w:pPr>
        <w:pStyle w:val="FirstParagraph"/>
      </w:pPr>
      <w:r>
        <w:t xml:space="preserve">After the first half, TransDigm had generated:</w:t>
      </w:r>
    </w:p>
    <w:p>
      <w:pPr>
        <w:pStyle w:val="Compact"/>
        <w:numPr>
          <w:ilvl w:val="0"/>
          <w:numId w:val="1006"/>
        </w:numPr>
      </w:pPr>
      <w:r>
        <w:rPr>
          <w:b/>
          <w:bCs/>
        </w:rPr>
        <w:t xml:space="preserve">$4.828 billion of revenue</w:t>
      </w:r>
    </w:p>
    <w:p>
      <w:pPr>
        <w:pStyle w:val="Compact"/>
        <w:numPr>
          <w:ilvl w:val="0"/>
          <w:numId w:val="1006"/>
        </w:numPr>
      </w:pPr>
      <w:r>
        <w:rPr>
          <w:b/>
          <w:bCs/>
        </w:rPr>
        <w:t xml:space="preserve">$2.534 billion of EBITDA As Defined</w:t>
      </w:r>
    </w:p>
    <w:p>
      <w:pPr>
        <w:pStyle w:val="Compact"/>
        <w:numPr>
          <w:ilvl w:val="0"/>
          <w:numId w:val="1006"/>
        </w:numPr>
      </w:pPr>
      <w:r>
        <w:rPr>
          <w:b/>
          <w:bCs/>
        </w:rPr>
        <w:t xml:space="preserve">$18.09 of adjusted EPS</w:t>
      </w:r>
    </w:p>
    <w:p>
      <w:pPr>
        <w:pStyle w:val="FirstParagraph"/>
      </w:pPr>
      <w:r>
        <w:t xml:space="preserve">Reaching the midpoint of current full-year guidance requires approximately:</w:t>
      </w:r>
    </w:p>
    <w:p>
      <w:pPr>
        <w:pStyle w:val="Compact"/>
        <w:numPr>
          <w:ilvl w:val="0"/>
          <w:numId w:val="1007"/>
        </w:numPr>
      </w:pPr>
      <w:r>
        <w:rPr>
          <w:b/>
          <w:bCs/>
        </w:rPr>
        <w:t xml:space="preserve">$5.532 billion of second-half revenue</w:t>
      </w:r>
    </w:p>
    <w:p>
      <w:pPr>
        <w:pStyle w:val="Compact"/>
        <w:numPr>
          <w:ilvl w:val="0"/>
          <w:numId w:val="1007"/>
        </w:numPr>
      </w:pPr>
      <w:r>
        <w:rPr>
          <w:b/>
          <w:bCs/>
        </w:rPr>
        <w:t xml:space="preserve">$2.886 billion of second-half EBITDA</w:t>
      </w:r>
    </w:p>
    <w:p>
      <w:pPr>
        <w:pStyle w:val="Compact"/>
        <w:numPr>
          <w:ilvl w:val="0"/>
          <w:numId w:val="1007"/>
        </w:numPr>
      </w:pPr>
      <w:r>
        <w:rPr>
          <w:b/>
          <w:bCs/>
        </w:rPr>
        <w:t xml:space="preserve">$21.43 of second-half adjusted EPS</w:t>
      </w:r>
    </w:p>
    <w:p>
      <w:pPr>
        <w:pStyle w:val="FirstParagraph"/>
      </w:pPr>
      <w:r>
        <w:t xml:space="preserve">That implies a second-half EBITDA margin of approximately</w:t>
      </w:r>
      <w:r>
        <w:t xml:space="preserve"> </w:t>
      </w:r>
      <w:r>
        <w:rPr>
          <w:b/>
          <w:bCs/>
        </w:rPr>
        <w:t xml:space="preserve">52.2%</w:t>
      </w:r>
      <w:r>
        <w:t xml:space="preserve">. If Q3 adjusted EPS lands at the</w:t>
      </w:r>
      <w:r>
        <w:t xml:space="preserve"> </w:t>
      </w:r>
      <m:oMath>
        <m:r>
          <m:t>10.15</m:t>
        </m:r>
        <m:r>
          <m:t>c</m:t>
        </m:r>
        <m:r>
          <m:t>o</m:t>
        </m:r>
        <m:r>
          <m:t>n</m:t>
        </m:r>
        <m:r>
          <m:t>s</m:t>
        </m:r>
        <m:r>
          <m:t>e</m:t>
        </m:r>
        <m:r>
          <m:t>n</m:t>
        </m:r>
        <m:r>
          <m:t>s</m:t>
        </m:r>
        <m:r>
          <m:t>u</m:t>
        </m:r>
        <m:r>
          <m:t>s</m:t>
        </m:r>
        <m:r>
          <m:rPr>
            <m:sty m:val="p"/>
          </m:rPr>
          <m:t>,</m:t>
        </m:r>
        <m:r>
          <m:t>Q</m:t>
        </m:r>
        <m:r>
          <m:t>4</m:t>
        </m:r>
        <m:r>
          <m:t>w</m:t>
        </m:r>
        <m:r>
          <m:t>o</m:t>
        </m:r>
        <m:r>
          <m:t>u</m:t>
        </m:r>
        <m:r>
          <m:t>l</m:t>
        </m:r>
        <m:r>
          <m:t>d</m:t>
        </m:r>
        <m:r>
          <m:t>n</m:t>
        </m:r>
        <m:r>
          <m:t>e</m:t>
        </m:r>
        <m:r>
          <m:t>e</m:t>
        </m:r>
        <m:r>
          <m:t>d</m:t>
        </m:r>
        <m:r>
          <m:t>a</m:t>
        </m:r>
        <m:r>
          <m:t>p</m:t>
        </m:r>
        <m:r>
          <m:t>p</m:t>
        </m:r>
        <m:r>
          <m:t>r</m:t>
        </m:r>
        <m:r>
          <m:t>o</m:t>
        </m:r>
        <m:r>
          <m:t>x</m:t>
        </m:r>
        <m:r>
          <m:t>i</m:t>
        </m:r>
        <m:r>
          <m:t>m</m:t>
        </m:r>
        <m:r>
          <m:t>a</m:t>
        </m:r>
        <m:r>
          <m:t>t</m:t>
        </m:r>
        <m:r>
          <m:t>e</m:t>
        </m:r>
        <m:r>
          <m:t>l</m:t>
        </m:r>
        <m:r>
          <m:t>y</m:t>
        </m:r>
        <m:r>
          <m:rPr>
            <m:sty m:val="p"/>
          </m:rPr>
          <m:t>*</m:t>
        </m:r>
        <m:r>
          <m:rPr>
            <m:sty m:val="p"/>
          </m:rPr>
          <m:t>*</m:t>
        </m:r>
      </m:oMath>
      <w:r>
        <w:t xml:space="preserve">11.28** to reach the $39.52 full-year midpoint.</w:t>
      </w:r>
    </w:p>
    <w:p>
      <w:pPr>
        <w:pStyle w:val="BodyText"/>
      </w:pPr>
      <w:r>
        <w:t xml:space="preserve">A guidance increase is plausible if aftermarket demand and integration trends stayed strong. However, investors should separate:</w:t>
      </w:r>
    </w:p>
    <w:p>
      <w:pPr>
        <w:pStyle w:val="Compact"/>
        <w:numPr>
          <w:ilvl w:val="0"/>
          <w:numId w:val="1008"/>
        </w:numPr>
      </w:pPr>
      <w:r>
        <w:t xml:space="preserve">A raise resulting from better core operations;</w:t>
      </w:r>
    </w:p>
    <w:p>
      <w:pPr>
        <w:pStyle w:val="Compact"/>
        <w:numPr>
          <w:ilvl w:val="0"/>
          <w:numId w:val="1008"/>
        </w:numPr>
      </w:pPr>
      <w:r>
        <w:t xml:space="preserve">A raise driven by acquisitions or lower share count; and</w:t>
      </w:r>
    </w:p>
    <w:p>
      <w:pPr>
        <w:pStyle w:val="Compact"/>
        <w:numPr>
          <w:ilvl w:val="0"/>
          <w:numId w:val="1008"/>
        </w:numPr>
      </w:pPr>
      <w:r>
        <w:t xml:space="preserve">A nominal raise accompanied by more cautious market assumptions.</w:t>
      </w:r>
    </w:p>
    <w:p>
      <w:pPr>
        <w:pStyle w:val="FirstParagraph"/>
      </w:pPr>
      <w:r>
        <w:t xml:space="preserve">The withdrawn Stellant acquisition should not mechanically reduce the May guidance because Stellant was already excluded. TransDigm formally abandoned the $960 million transaction in July after deciding that regulatory uncertainty and the expected completion timeline no longer justified pursuing it. (</w:t>
      </w:r>
      <w:hyperlink r:id="rId19">
        <w:r>
          <w:rPr>
            <w:rStyle w:val="Hyperlink"/>
          </w:rPr>
          <w:t xml:space="preserve">sec.gov</w:t>
        </w:r>
      </w:hyperlink>
      <w:r>
        <w:t xml:space="preserve">)</w:t>
      </w:r>
    </w:p>
    <w:bookmarkEnd w:id="20"/>
    <w:bookmarkStart w:id="23" w:name="X3648b8561012f6d256da5ff21a00bac16624153"/>
    <w:p>
      <w:pPr>
        <w:pStyle w:val="Heading2"/>
      </w:pPr>
      <w:r>
        <w:t xml:space="preserve">6. Capital allocation has become a bigger part of the story</w:t>
      </w:r>
    </w:p>
    <w:p>
      <w:pPr>
        <w:pStyle w:val="FirstParagraph"/>
      </w:pPr>
      <w:r>
        <w:t xml:space="preserve">TransDigm completed the $2.2 billion acquisition of Jet Parts Engineering and Victor Sierra in April. Those businesses strengthen its proprietary commercial aftermarket and PMA exposure. (</w:t>
      </w:r>
      <w:hyperlink r:id="rId21">
        <w:r>
          <w:rPr>
            <w:rStyle w:val="Hyperlink"/>
          </w:rPr>
          <w:t xml:space="preserve">transdigmgroupinc.gcs-web.com</w:t>
        </w:r>
      </w:hyperlink>
      <w:r>
        <w:t xml:space="preserve">)</w:t>
      </w:r>
    </w:p>
    <w:p>
      <w:pPr>
        <w:pStyle w:val="BodyText"/>
      </w:pPr>
      <w:r>
        <w:t xml:space="preserve">More recently, the company agreed to acquire Prince &amp; Izant for approximately</w:t>
      </w:r>
      <w:r>
        <w:t xml:space="preserve"> </w:t>
      </w:r>
      <w:r>
        <w:rPr>
          <w:b/>
          <w:bCs/>
        </w:rPr>
        <w:t xml:space="preserve">$1.066 billion**. P&amp;I is expected to generate about **$</w:t>
      </w:r>
      <w:r>
        <w:rPr>
          <w:b/>
          <w:bCs/>
        </w:rPr>
        <w:t xml:space="preserve">360 million of 2026 revenue</w:t>
      </w:r>
      <w:r>
        <w:t xml:space="preserve">, derives most of its sales from aftermarket products and has nearly 10,000 active SKUs. The purchase price equals roughly three times expected revenue before considering tax benefits or future margin improvement. (</w:t>
      </w:r>
      <w:hyperlink r:id="rId22">
        <w:r>
          <w:rPr>
            <w:rStyle w:val="Hyperlink"/>
          </w:rPr>
          <w:t xml:space="preserve">prnewswire.co.uk</w:t>
        </w:r>
      </w:hyperlink>
      <w:r>
        <w:t xml:space="preserve">)</w:t>
      </w:r>
    </w:p>
    <w:p>
      <w:pPr>
        <w:pStyle w:val="BodyText"/>
      </w:pPr>
      <w:r>
        <w:t xml:space="preserve">Investors should ask:</w:t>
      </w:r>
    </w:p>
    <w:p>
      <w:pPr>
        <w:pStyle w:val="Compact"/>
        <w:numPr>
          <w:ilvl w:val="0"/>
          <w:numId w:val="1009"/>
        </w:numPr>
      </w:pPr>
      <w:r>
        <w:t xml:space="preserve">How much of the cash previously earmarked for Stellant will fund P&amp;I?</w:t>
      </w:r>
    </w:p>
    <w:p>
      <w:pPr>
        <w:pStyle w:val="Compact"/>
        <w:numPr>
          <w:ilvl w:val="0"/>
          <w:numId w:val="1009"/>
        </w:numPr>
      </w:pPr>
      <w:r>
        <w:t xml:space="preserve">What is P&amp;I’s current EBITDA margin and expected path toward TransDigm-level economics?</w:t>
      </w:r>
    </w:p>
    <w:p>
      <w:pPr>
        <w:pStyle w:val="Compact"/>
        <w:numPr>
          <w:ilvl w:val="0"/>
          <w:numId w:val="1009"/>
        </w:numPr>
      </w:pPr>
      <w:r>
        <w:t xml:space="preserve">Are additional buybacks or a special dividend under consideration?</w:t>
      </w:r>
    </w:p>
    <w:p>
      <w:pPr>
        <w:pStyle w:val="Compact"/>
        <w:numPr>
          <w:ilvl w:val="0"/>
          <w:numId w:val="1009"/>
        </w:numPr>
      </w:pPr>
      <w:r>
        <w:t xml:space="preserve">Where will pro forma net leverage land after all pending transactions?</w:t>
      </w:r>
    </w:p>
    <w:p>
      <w:pPr>
        <w:pStyle w:val="Compact"/>
        <w:numPr>
          <w:ilvl w:val="0"/>
          <w:numId w:val="1009"/>
        </w:numPr>
      </w:pPr>
      <w:r>
        <w:t xml:space="preserve">Does management still see more than $10 billion of acquisition capacity?</w:t>
      </w:r>
    </w:p>
    <w:p>
      <w:pPr>
        <w:pStyle w:val="FirstParagraph"/>
      </w:pPr>
      <w:r>
        <w:t xml:space="preserve">At Q2, pro forma net leverage after Jet Parts and Victor Sierra was approximately 5.9 times, within management’s customary 5–7 times range. The company also had raised substantial debt, and higher interest expense remains a meaningful drag on GAAP income and EPS even while EBITDA grows strongly.</w:t>
      </w:r>
    </w:p>
    <w:bookmarkEnd w:id="23"/>
    <w:bookmarkStart w:id="27" w:name="stock-setup-and-likely-reaction-function"/>
    <w:p>
      <w:pPr>
        <w:pStyle w:val="Heading2"/>
      </w:pPr>
      <w:r>
        <w:t xml:space="preserve">Stock setup and likely reaction function</w:t>
      </w:r>
    </w:p>
    <w:p>
      <w:pPr>
        <w:pStyle w:val="FirstParagraph"/>
      </w:pPr>
      <w:r>
        <w:t xml:space="preserve">TDG closed August 3 at approximately</w:t>
      </w:r>
      <w:r>
        <w:t xml:space="preserve"> </w:t>
      </w:r>
      <w:r>
        <w:rPr>
          <w:b/>
          <w:bCs/>
        </w:rPr>
        <w:t xml:space="preserve">$1,285.60</w:t>
      </w:r>
      <w:r>
        <w:t xml:space="preserve">, about 8% above its May 5 close but roughly 20% below its level one year earlier. At that price, the shares trade at approximately</w:t>
      </w:r>
      <w:r>
        <w:t xml:space="preserve"> </w:t>
      </w:r>
      <w:r>
        <w:rPr>
          <w:b/>
          <w:bCs/>
        </w:rPr>
        <w:t xml:space="preserve">32.5 times</w:t>
      </w:r>
      <w:r>
        <w:t xml:space="preserve"> </w:t>
      </w:r>
      <w:r>
        <w:t xml:space="preserve">the midpoint of fiscal 2026 adjusted EPS guidance.</w:t>
      </w:r>
    </w:p>
    <w:p>
      <w:pPr>
        <w:pStyle w:val="BodyText"/>
      </w:pPr>
      <w:r>
        <w:t xml:space="preserve">That valuation makes the reaction heavily dependent on forward commentary:</w:t>
      </w:r>
    </w:p>
    <w:bookmarkStart w:id="24" w:name="likely-positive-reaction"/>
    <w:p>
      <w:pPr>
        <w:pStyle w:val="Heading3"/>
      </w:pPr>
      <w:r>
        <w:t xml:space="preserve">Likely positive reaction</w:t>
      </w:r>
    </w:p>
    <w:p>
      <w:pPr>
        <w:pStyle w:val="Compact"/>
        <w:numPr>
          <w:ilvl w:val="0"/>
          <w:numId w:val="1010"/>
        </w:numPr>
      </w:pPr>
      <w:r>
        <w:t xml:space="preserve">Revenue at or above roughly $2.68 billion.</w:t>
      </w:r>
    </w:p>
    <w:p>
      <w:pPr>
        <w:pStyle w:val="Compact"/>
        <w:numPr>
          <w:ilvl w:val="0"/>
          <w:numId w:val="1010"/>
        </w:numPr>
      </w:pPr>
      <w:r>
        <w:t xml:space="preserve">Adjusted EPS above approximately $10.30.</w:t>
      </w:r>
    </w:p>
    <w:p>
      <w:pPr>
        <w:pStyle w:val="Compact"/>
        <w:numPr>
          <w:ilvl w:val="0"/>
          <w:numId w:val="1010"/>
        </w:numPr>
      </w:pPr>
      <w:r>
        <w:t xml:space="preserve">Double-digit commercial aftermarket growth.</w:t>
      </w:r>
    </w:p>
    <w:p>
      <w:pPr>
        <w:pStyle w:val="Compact"/>
        <w:numPr>
          <w:ilvl w:val="0"/>
          <w:numId w:val="1010"/>
        </w:numPr>
      </w:pPr>
      <w:r>
        <w:t xml:space="preserve">Underlying margin expansion despite acquisition dilution.</w:t>
      </w:r>
    </w:p>
    <w:p>
      <w:pPr>
        <w:pStyle w:val="Compact"/>
        <w:numPr>
          <w:ilvl w:val="0"/>
          <w:numId w:val="1010"/>
        </w:numPr>
      </w:pPr>
      <w:r>
        <w:t xml:space="preserve">Another credible full-year guidance raise.</w:t>
      </w:r>
    </w:p>
    <w:p>
      <w:pPr>
        <w:pStyle w:val="Compact"/>
        <w:numPr>
          <w:ilvl w:val="0"/>
          <w:numId w:val="1010"/>
        </w:numPr>
      </w:pPr>
      <w:r>
        <w:t xml:space="preserve">No material deterioration in July aftermarket orders.</w:t>
      </w:r>
    </w:p>
    <w:bookmarkEnd w:id="24"/>
    <w:bookmarkStart w:id="25" w:name="mixed-reaction"/>
    <w:p>
      <w:pPr>
        <w:pStyle w:val="Heading3"/>
      </w:pPr>
      <w:r>
        <w:t xml:space="preserve">Mixed reaction</w:t>
      </w:r>
    </w:p>
    <w:p>
      <w:pPr>
        <w:pStyle w:val="Compact"/>
        <w:numPr>
          <w:ilvl w:val="0"/>
          <w:numId w:val="1011"/>
        </w:numPr>
      </w:pPr>
      <w:r>
        <w:t xml:space="preserve">Headline beat primarily from acquisitions or buybacks.</w:t>
      </w:r>
    </w:p>
    <w:p>
      <w:pPr>
        <w:pStyle w:val="Compact"/>
        <w:numPr>
          <w:ilvl w:val="0"/>
          <w:numId w:val="1011"/>
        </w:numPr>
      </w:pPr>
      <w:r>
        <w:t xml:space="preserve">Margin near plan but weaker organic growth.</w:t>
      </w:r>
    </w:p>
    <w:p>
      <w:pPr>
        <w:pStyle w:val="Compact"/>
        <w:numPr>
          <w:ilvl w:val="0"/>
          <w:numId w:val="1011"/>
        </w:numPr>
      </w:pPr>
      <w:r>
        <w:t xml:space="preserve">Guidance maintained rather than raised.</w:t>
      </w:r>
    </w:p>
    <w:p>
      <w:pPr>
        <w:pStyle w:val="Compact"/>
        <w:numPr>
          <w:ilvl w:val="0"/>
          <w:numId w:val="1011"/>
        </w:numPr>
      </w:pPr>
      <w:r>
        <w:t xml:space="preserve">Strong Q3 results accompanied by caution on fiscal 2027.</w:t>
      </w:r>
    </w:p>
    <w:bookmarkEnd w:id="25"/>
    <w:bookmarkStart w:id="26" w:name="likely-negative-reaction"/>
    <w:p>
      <w:pPr>
        <w:pStyle w:val="Heading3"/>
      </w:pPr>
      <w:r>
        <w:t xml:space="preserve">Likely negative reaction</w:t>
      </w:r>
    </w:p>
    <w:p>
      <w:pPr>
        <w:pStyle w:val="Compact"/>
        <w:numPr>
          <w:ilvl w:val="0"/>
          <w:numId w:val="1012"/>
        </w:numPr>
      </w:pPr>
      <w:r>
        <w:t xml:space="preserve">Commercial aftermarket growth falls materially below high single digits.</w:t>
      </w:r>
    </w:p>
    <w:p>
      <w:pPr>
        <w:pStyle w:val="Compact"/>
        <w:numPr>
          <w:ilvl w:val="0"/>
          <w:numId w:val="1012"/>
        </w:numPr>
      </w:pPr>
      <w:r>
        <w:t xml:space="preserve">Bookings no longer exceed shipments.</w:t>
      </w:r>
    </w:p>
    <w:p>
      <w:pPr>
        <w:pStyle w:val="Compact"/>
        <w:numPr>
          <w:ilvl w:val="0"/>
          <w:numId w:val="1012"/>
        </w:numPr>
      </w:pPr>
      <w:r>
        <w:t xml:space="preserve">OEM growth disappoints despite easy comparisons.</w:t>
      </w:r>
    </w:p>
    <w:p>
      <w:pPr>
        <w:pStyle w:val="Compact"/>
        <w:numPr>
          <w:ilvl w:val="0"/>
          <w:numId w:val="1012"/>
        </w:numPr>
      </w:pPr>
      <w:r>
        <w:t xml:space="preserve">Acquisition dilution is worse than expected.</w:t>
      </w:r>
    </w:p>
    <w:p>
      <w:pPr>
        <w:pStyle w:val="Compact"/>
        <w:numPr>
          <w:ilvl w:val="0"/>
          <w:numId w:val="1012"/>
        </w:numPr>
      </w:pPr>
      <w:r>
        <w:t xml:space="preserve">Full-year guidance is maintained only through a back-end-loaded Q4.</w:t>
      </w:r>
    </w:p>
    <w:p>
      <w:pPr>
        <w:pStyle w:val="Compact"/>
        <w:numPr>
          <w:ilvl w:val="0"/>
          <w:numId w:val="1012"/>
        </w:numPr>
      </w:pPr>
      <w:r>
        <w:t xml:space="preserve">Management flags airline maintenance deferrals or broad demand weakness.</w:t>
      </w:r>
    </w:p>
    <w:bookmarkEnd w:id="26"/>
    <w:bookmarkEnd w:id="27"/>
    <w:bookmarkStart w:id="28" w:name="bottom-line"/>
    <w:p>
      <w:pPr>
        <w:pStyle w:val="Heading2"/>
      </w:pPr>
      <w:r>
        <w:t xml:space="preserve">Bottom line</w:t>
      </w:r>
    </w:p>
    <w:p>
      <w:pPr>
        <w:pStyle w:val="FirstParagraph"/>
      </w:pPr>
      <w:r>
        <w:t xml:space="preserve">The most important signal will be</w:t>
      </w:r>
      <w:r>
        <w:t xml:space="preserve"> </w:t>
      </w:r>
      <w:r>
        <w:rPr>
          <w:b/>
          <w:bCs/>
        </w:rPr>
        <w:t xml:space="preserve">commercial aftermarket bookings and management’s view of demand since the quarter ended</w:t>
      </w:r>
      <w:r>
        <w:t xml:space="preserve">, followed by underlying margin performance. Reported growth should be strong because of acquisitions and favorable OEM comparisons, but the market is likely to look through those factors.</w:t>
      </w:r>
    </w:p>
    <w:p>
      <w:pPr>
        <w:pStyle w:val="BodyText"/>
      </w:pPr>
      <w:r>
        <w:t xml:space="preserve">A genuinely strong report would combine:</w:t>
      </w:r>
    </w:p>
    <w:p>
      <w:pPr>
        <w:pStyle w:val="Compact"/>
        <w:numPr>
          <w:ilvl w:val="0"/>
          <w:numId w:val="1013"/>
        </w:numPr>
      </w:pPr>
      <w:r>
        <w:t xml:space="preserve">Approximately 19% reported revenue growth;</w:t>
      </w:r>
    </w:p>
    <w:p>
      <w:pPr>
        <w:pStyle w:val="Compact"/>
        <w:numPr>
          <w:ilvl w:val="0"/>
          <w:numId w:val="1013"/>
        </w:numPr>
      </w:pPr>
      <w:r>
        <w:t xml:space="preserve">Double-digit organic aftermarket growth;</w:t>
      </w:r>
    </w:p>
    <w:p>
      <w:pPr>
        <w:pStyle w:val="Compact"/>
        <w:numPr>
          <w:ilvl w:val="0"/>
          <w:numId w:val="1013"/>
        </w:numPr>
      </w:pPr>
      <w:r>
        <w:t xml:space="preserve">Stable-to-improving underlying margins;</w:t>
      </w:r>
    </w:p>
    <w:p>
      <w:pPr>
        <w:pStyle w:val="Compact"/>
        <w:numPr>
          <w:ilvl w:val="0"/>
          <w:numId w:val="1013"/>
        </w:numPr>
      </w:pPr>
      <w:r>
        <w:t xml:space="preserve">Continued defense and OEM booking strength; and</w:t>
      </w:r>
    </w:p>
    <w:p>
      <w:pPr>
        <w:pStyle w:val="Compact"/>
        <w:numPr>
          <w:ilvl w:val="0"/>
          <w:numId w:val="1013"/>
        </w:numPr>
      </w:pPr>
      <w:r>
        <w:t xml:space="preserve">A full-year raise based primarily on the base business.</w:t>
      </w:r>
    </w:p>
    <w:p>
      <w:pPr>
        <w:pStyle w:val="FirstParagraph"/>
      </w:pPr>
      <w:r>
        <w:t xml:space="preserve">Anything less may leave investors focused on leverage, interest expense, acquisition integration and the possibility that fiscal 2027 aftermarket growth will prove harder to sustain.</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1" Target="https://transdigmgroupinc.gcs-web.com/news-releases/news-release-details/transdigm-completes-acquisition-jet-parts-engineering-and-victor?utm_source=openai" TargetMode="External" /><Relationship Type="http://schemas.openxmlformats.org/officeDocument/2006/relationships/hyperlink" Id="rId12" Target="https://transdigmgroupinc.gcs-web.com/news-releases/news-release-details/transdigm-group-reports-fiscal-2026-second-quarter-results?utm_source=openai" TargetMode="External" /><Relationship Type="http://schemas.openxmlformats.org/officeDocument/2006/relationships/hyperlink" Id="rId9" Target="https://transdigmgroupinc.gcs-web.com/press-releases-footer/?utm_source=openai" TargetMode="External" /><Relationship Type="http://schemas.openxmlformats.org/officeDocument/2006/relationships/hyperlink" Id="rId11" Target="https://www.marketbeat.com/earnings/reports/2026-8-4-transdigm-group-incorporated-stock/?utm_source=openai" TargetMode="External" /><Relationship Type="http://schemas.openxmlformats.org/officeDocument/2006/relationships/hyperlink" Id="rId22" Target="https://www.prnewswire.co.uk/news-releases/transdigm-announces-acquisition-of-prince--izant-302835144.html?utm_source=openai" TargetMode="External" /><Relationship Type="http://schemas.openxmlformats.org/officeDocument/2006/relationships/hyperlink" Id="rId15" Target="https://www.reddit.com/r/PocketQuantResearch/comments/1mijthk?utm_source=openai" TargetMode="External" /><Relationship Type="http://schemas.openxmlformats.org/officeDocument/2006/relationships/hyperlink" Id="rId19" Target="https://www.sec.gov/Archives/edgar/data/1260221/000126022126000044/tdg-20260710.htm?utm_source=openai" TargetMode="External" /></Relationships>
</file>

<file path=word/_rels/footnotes.xml.rels><?xml version="1.0" encoding="UTF-8"?><Relationships xmlns="http://schemas.openxmlformats.org/package/2006/relationships"><Relationship Type="http://schemas.openxmlformats.org/officeDocument/2006/relationships/hyperlink" Id="rId21" Target="https://transdigmgroupinc.gcs-web.com/news-releases/news-release-details/transdigm-completes-acquisition-jet-parts-engineering-and-victor?utm_source=openai" TargetMode="External" /><Relationship Type="http://schemas.openxmlformats.org/officeDocument/2006/relationships/hyperlink" Id="rId12" Target="https://transdigmgroupinc.gcs-web.com/news-releases/news-release-details/transdigm-group-reports-fiscal-2026-second-quarter-results?utm_source=openai" TargetMode="External" /><Relationship Type="http://schemas.openxmlformats.org/officeDocument/2006/relationships/hyperlink" Id="rId9" Target="https://transdigmgroupinc.gcs-web.com/press-releases-footer/?utm_source=openai" TargetMode="External" /><Relationship Type="http://schemas.openxmlformats.org/officeDocument/2006/relationships/hyperlink" Id="rId11" Target="https://www.marketbeat.com/earnings/reports/2026-8-4-transdigm-group-incorporated-stock/?utm_source=openai" TargetMode="External" /><Relationship Type="http://schemas.openxmlformats.org/officeDocument/2006/relationships/hyperlink" Id="rId22" Target="https://www.prnewswire.co.uk/news-releases/transdigm-announces-acquisition-of-prince--izant-302835144.html?utm_source=openai" TargetMode="External" /><Relationship Type="http://schemas.openxmlformats.org/officeDocument/2006/relationships/hyperlink" Id="rId15" Target="https://www.reddit.com/r/PocketQuantResearch/comments/1mijthk?utm_source=openai" TargetMode="External" /><Relationship Type="http://schemas.openxmlformats.org/officeDocument/2006/relationships/hyperlink" Id="rId19" Target="https://www.sec.gov/Archives/edgar/data/1260221/000126022126000044/tdg-20260710.htm?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2026-08-04T01:13:15Z</dcterms:created>
  <dcterms:modified xsi:type="dcterms:W3CDTF">2026-08-04T01:13:15Z</dcterms:modified>
</cp:coreProperties>
</file>

<file path=docProps/custom.xml><?xml version="1.0" encoding="utf-8"?>
<Properties xmlns="http://schemas.openxmlformats.org/officeDocument/2006/custom-properties" xmlns:vt="http://schemas.openxmlformats.org/officeDocument/2006/docPropsVTypes"/>
</file>