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be5e22a99b92e8330d1958377e0f82b216eddf"/>
    <w:p>
      <w:pPr>
        <w:pStyle w:val="Heading1"/>
      </w:pPr>
      <w:r>
        <w:t xml:space="preserve">TransDigm (NYSE: TDG) — Fiscal 3Q26 Earnings Preview</w:t>
      </w:r>
    </w:p>
    <w:p>
      <w:pPr>
        <w:pStyle w:val="BlockText"/>
      </w:pPr>
      <w:r>
        <w:rPr>
          <w:b/>
          <w:bCs/>
        </w:rPr>
        <w:t xml:space="preserve">Date clarification:</w:t>
      </w:r>
      <w:r>
        <w:t xml:space="preserve"> </w:t>
      </w:r>
      <w:r>
        <w:t xml:space="preserve">The referenced event date is</w:t>
      </w:r>
      <w:r>
        <w:t xml:space="preserve"> </w:t>
      </w:r>
      <w:r>
        <w:rPr>
          <w:b/>
          <w:bCs/>
        </w:rPr>
        <w:t xml:space="preserve">August 4, 2026</w:t>
      </w:r>
      <w:r>
        <w:t xml:space="preserve">, which is</w:t>
      </w:r>
      <w:r>
        <w:t xml:space="preserve"> </w:t>
      </w:r>
      <w:r>
        <w:rPr>
          <w:b/>
          <w:bCs/>
        </w:rPr>
        <w:t xml:space="preserve">today</w:t>
      </w:r>
      <w:r>
        <w:t xml:space="preserve">, not tomorrow. This preview is framed around TDG’s fiscal</w:t>
      </w:r>
      <w:r>
        <w:t xml:space="preserve"> </w:t>
      </w:r>
      <w:r>
        <w:rPr>
          <w:b/>
          <w:bCs/>
        </w:rPr>
        <w:t xml:space="preserve">2026 third-quarter</w:t>
      </w:r>
      <w:r>
        <w:t xml:space="preserve"> </w:t>
      </w:r>
      <w:r>
        <w:t xml:space="preserve">report and call.</w:t>
      </w:r>
    </w:p>
    <w:bookmarkStart w:id="9" w:name="investment-setup"/>
    <w:p>
      <w:pPr>
        <w:pStyle w:val="Heading2"/>
      </w:pPr>
      <w:r>
        <w:t xml:space="preserve">Investment setup</w:t>
      </w:r>
    </w:p>
    <w:p>
      <w:pPr>
        <w:pStyle w:val="FirstParagraph"/>
      </w:pPr>
      <w:r>
        <w:t xml:space="preserve">TransDigm enters fiscal 3Q26 with the operating backdrop still favorable: commercial aftermarket demand, commercial OEM production, and defense each contributed to double-digit growth in fiscal 2Q26. The central question is no longer whether the company can grow—it is whether it can</w:t>
      </w:r>
      <w:r>
        <w:t xml:space="preserve"> </w:t>
      </w:r>
      <w:r>
        <w:rPr>
          <w:b/>
          <w:bCs/>
        </w:rPr>
        <w:t xml:space="preserve">sustain its upgraded fiscal-year outlook while absorbing a meaningful acquisition slate and higher debt costs</w:t>
      </w:r>
      <w:r>
        <w:t xml:space="preserve">.</w:t>
      </w:r>
    </w:p>
    <w:p>
      <w:pPr>
        <w:pStyle w:val="BodyText"/>
      </w:pPr>
      <w:r>
        <w:t xml:space="preserve">The report should be judged primarily on:</w:t>
      </w:r>
    </w:p>
    <w:p>
      <w:pPr>
        <w:pStyle w:val="Compact"/>
        <w:numPr>
          <w:ilvl w:val="0"/>
          <w:numId w:val="1001"/>
        </w:numPr>
      </w:pPr>
      <w:r>
        <w:rPr>
          <w:b/>
          <w:bCs/>
        </w:rPr>
        <w:t xml:space="preserve">Commercial-aftermarket momentum</w:t>
      </w:r>
      <w:r>
        <w:t xml:space="preserve"> </w:t>
      </w:r>
      <w:r>
        <w:t xml:space="preserve">after a strong fiscal 2Q rebound.</w:t>
      </w:r>
    </w:p>
    <w:p>
      <w:pPr>
        <w:pStyle w:val="Compact"/>
        <w:numPr>
          <w:ilvl w:val="0"/>
          <w:numId w:val="1001"/>
        </w:numPr>
      </w:pPr>
      <w:r>
        <w:rPr>
          <w:b/>
          <w:bCs/>
        </w:rPr>
        <w:t xml:space="preserve">Margin resilience</w:t>
      </w:r>
      <w:r>
        <w:t xml:space="preserve"> </w:t>
      </w:r>
      <w:r>
        <w:t xml:space="preserve">as recently acquired, initially dilutive businesses become a larger part of reported results.</w:t>
      </w:r>
    </w:p>
    <w:p>
      <w:pPr>
        <w:pStyle w:val="Compact"/>
        <w:numPr>
          <w:ilvl w:val="0"/>
          <w:numId w:val="1001"/>
        </w:numPr>
      </w:pPr>
      <w:r>
        <w:rPr>
          <w:b/>
          <w:bCs/>
        </w:rPr>
        <w:t xml:space="preserve">The durability of full-year guidance</w:t>
      </w:r>
      <w:r>
        <w:t xml:space="preserve">, particularly given Middle East-related uncertainty and the high bar created by the May guidance increase.</w:t>
      </w:r>
    </w:p>
    <w:p>
      <w:pPr>
        <w:pStyle w:val="Compact"/>
        <w:numPr>
          <w:ilvl w:val="0"/>
          <w:numId w:val="1001"/>
        </w:numPr>
      </w:pPr>
      <w:r>
        <w:rPr>
          <w:b/>
          <w:bCs/>
        </w:rPr>
        <w:t xml:space="preserve">Capital allocation and M&amp;A updates</w:t>
      </w:r>
      <w:r>
        <w:t xml:space="preserve">, including the status of Stellant Systems and the implications of the recently announced Prince &amp; Izant transaction.</w:t>
      </w:r>
    </w:p>
    <w:bookmarkEnd w:id="9"/>
    <w:bookmarkStart w:id="12" w:name="what-tdg-has-to-prove-in-3q"/>
    <w:p>
      <w:pPr>
        <w:pStyle w:val="Heading2"/>
      </w:pPr>
      <w:r>
        <w:t xml:space="preserve">What TDG has to prove in 3Q</w:t>
      </w:r>
    </w:p>
    <w:bookmarkStart w:id="10" w:name="Xa4d8bba90bc766512f287c134699c158c34395c"/>
    <w:p>
      <w:pPr>
        <w:pStyle w:val="Heading3"/>
      </w:pPr>
      <w:r>
        <w:t xml:space="preserve">1. Commercial aftermarket needs to remain firm</w:t>
      </w:r>
    </w:p>
    <w:p>
      <w:pPr>
        <w:pStyle w:val="FirstParagraph"/>
      </w:pPr>
      <w:r>
        <w:t xml:space="preserve">In fiscal 2Q26, TDG’s commercial aftermarket revenue grew approximately</w:t>
      </w:r>
      <w:r>
        <w:t xml:space="preserve"> </w:t>
      </w:r>
      <w:r>
        <w:rPr>
          <w:b/>
          <w:bCs/>
        </w:rPr>
        <w:t xml:space="preserve">14% year over year on a pro forma basis</w:t>
      </w:r>
      <w:r>
        <w:t xml:space="preserve">; commercial-transport aftermarket grew</w:t>
      </w:r>
      <w:r>
        <w:t xml:space="preserve"> </w:t>
      </w:r>
      <w:r>
        <w:rPr>
          <w:b/>
          <w:bCs/>
        </w:rPr>
        <w:t xml:space="preserve">16%</w:t>
      </w:r>
      <w:r>
        <w:t xml:space="preserve">. Management cited strong bookings, a positive book-to-bill, and double-digit distributor point-of-sale growth.</w:t>
      </w:r>
    </w:p>
    <w:p>
      <w:pPr>
        <w:pStyle w:val="BodyText"/>
      </w:pPr>
      <w:r>
        <w:t xml:space="preserve">This matters because commercial aftermarket is the core of TDG’s value proposition: proprietary content, recurring replacement demand, pricing power, and structurally superior margins. Management had also indicated that distributor-channel destocking was largely behind it, removing a prior headwind.</w:t>
      </w:r>
    </w:p>
    <w:p>
      <w:pPr>
        <w:pStyle w:val="BodyText"/>
      </w:pPr>
      <w:r>
        <w:rPr>
          <w:b/>
          <w:bCs/>
        </w:rPr>
        <w:t xml:space="preserve">What investors should watch:</w:t>
      </w:r>
    </w:p>
    <w:p>
      <w:pPr>
        <w:pStyle w:val="Compact"/>
        <w:numPr>
          <w:ilvl w:val="0"/>
          <w:numId w:val="1002"/>
        </w:numPr>
      </w:pPr>
      <w:r>
        <w:t xml:space="preserve">Does commercial aftermarket remain within management’s</w:t>
      </w:r>
      <w:r>
        <w:t xml:space="preserve"> </w:t>
      </w:r>
      <w:r>
        <w:rPr>
          <w:b/>
          <w:bCs/>
        </w:rPr>
        <w:t xml:space="preserve">high-single-digit to low-double-digit</w:t>
      </w:r>
      <w:r>
        <w:t xml:space="preserve"> </w:t>
      </w:r>
      <w:r>
        <w:t xml:space="preserve">full-year growth framework?</w:t>
      </w:r>
    </w:p>
    <w:p>
      <w:pPr>
        <w:pStyle w:val="Compact"/>
        <w:numPr>
          <w:ilvl w:val="0"/>
          <w:numId w:val="1002"/>
        </w:numPr>
      </w:pPr>
      <w:r>
        <w:t xml:space="preserve">Are engine and passenger aftermarket demand still the principal growth drivers?</w:t>
      </w:r>
    </w:p>
    <w:p>
      <w:pPr>
        <w:pStyle w:val="Compact"/>
        <w:numPr>
          <w:ilvl w:val="0"/>
          <w:numId w:val="1002"/>
        </w:numPr>
      </w:pPr>
      <w:r>
        <w:t xml:space="preserve">Does management report another quarter of bookings above shipments?</w:t>
      </w:r>
    </w:p>
    <w:p>
      <w:pPr>
        <w:pStyle w:val="Compact"/>
        <w:numPr>
          <w:ilvl w:val="0"/>
          <w:numId w:val="1002"/>
        </w:numPr>
      </w:pPr>
      <w:r>
        <w:t xml:space="preserve">Is there any evidence that higher fuel costs, disrupted flight activity, or weaker airline profitability are beginning to affect order patterns?</w:t>
      </w:r>
    </w:p>
    <w:p>
      <w:pPr>
        <w:pStyle w:val="FirstParagraph"/>
      </w:pPr>
      <w:r>
        <w:t xml:space="preserve">The potential downside is not necessarily a sharp fiscal 3Q air-pocket: management said roughly half of commercial-aftermarket shipments in a quarter ship within that same quarter, providing near-term visibility. The larger issue is whether any weakness becomes evident in fiscal 4Q or in the initial fiscal 2027 setup.</w:t>
      </w:r>
    </w:p>
    <w:bookmarkEnd w:id="10"/>
    <w:bookmarkStart w:id="11" w:name="X3e31ef88b9bc90566c4ca861f05fe3b746ef0bd"/>
    <w:p>
      <w:pPr>
        <w:pStyle w:val="Heading3"/>
      </w:pPr>
      <w:r>
        <w:t xml:space="preserve">2. Commercial OEM and defense are meaningful incremental supports</w:t>
      </w:r>
    </w:p>
    <w:p>
      <w:pPr>
        <w:pStyle w:val="FirstParagraph"/>
      </w:pPr>
      <w:r>
        <w:t xml:space="preserve">Fiscal 2Q pro forma commercial OEM revenue grew about</w:t>
      </w:r>
      <w:r>
        <w:t xml:space="preserve"> </w:t>
      </w:r>
      <w:r>
        <w:rPr>
          <w:b/>
          <w:bCs/>
        </w:rPr>
        <w:t xml:space="preserve">12%</w:t>
      </w:r>
      <w:r>
        <w:t xml:space="preserve">, including approximately</w:t>
      </w:r>
      <w:r>
        <w:t xml:space="preserve"> </w:t>
      </w:r>
      <w:r>
        <w:rPr>
          <w:b/>
          <w:bCs/>
        </w:rPr>
        <w:t xml:space="preserve">19%</w:t>
      </w:r>
      <w:r>
        <w:t xml:space="preserve"> </w:t>
      </w:r>
      <w:r>
        <w:t xml:space="preserve">growth in commercial transport OEM. Bookings significantly outpaced sales, and management raised its FY26 commercial-OEM outlook to</w:t>
      </w:r>
      <w:r>
        <w:t xml:space="preserve"> </w:t>
      </w:r>
      <w:r>
        <w:rPr>
          <w:b/>
          <w:bCs/>
        </w:rPr>
        <w:t xml:space="preserve">low-double-digit through mid-teens growth</w:t>
      </w:r>
      <w:r>
        <w:t xml:space="preserve">.</w:t>
      </w:r>
    </w:p>
    <w:p>
      <w:pPr>
        <w:pStyle w:val="BodyText"/>
      </w:pPr>
      <w:r>
        <w:t xml:space="preserve">Defense grew roughly</w:t>
      </w:r>
      <w:r>
        <w:t xml:space="preserve"> </w:t>
      </w:r>
      <w:r>
        <w:rPr>
          <w:b/>
          <w:bCs/>
        </w:rPr>
        <w:t xml:space="preserve">11%</w:t>
      </w:r>
      <w:r>
        <w:t xml:space="preserve"> </w:t>
      </w:r>
      <w:r>
        <w:t xml:space="preserve">in fiscal 2Q, with bookings also ahead of sales and a larger backlog supporting the second half and into fiscal 2027. TDG’s FY26 defense outlook calls for</w:t>
      </w:r>
      <w:r>
        <w:t xml:space="preserve"> </w:t>
      </w:r>
      <w:r>
        <w:rPr>
          <w:b/>
          <w:bCs/>
        </w:rPr>
        <w:t xml:space="preserve">high-single-digit growth</w:t>
      </w:r>
      <w:r>
        <w:t xml:space="preserve">.</w:t>
      </w:r>
    </w:p>
    <w:p>
      <w:pPr>
        <w:pStyle w:val="BodyText"/>
      </w:pPr>
      <w:r>
        <w:t xml:space="preserve">The key read-through for 3Q is whether the broad-based growth thesis remains intact: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Market channel</w:t>
            </w:r>
          </w:p>
        </w:tc>
        <w:tc>
          <w:tcPr/>
          <w:p>
            <w:pPr>
              <w:pStyle w:val="Compact"/>
              <w:jc w:val="right"/>
            </w:pPr>
            <w:r>
              <w:t xml:space="preserve">FY26 management growth assumption</w:t>
            </w:r>
          </w:p>
        </w:tc>
        <w:tc>
          <w:tcPr/>
          <w:p>
            <w:pPr>
              <w:pStyle w:val="Compact"/>
            </w:pPr>
            <w:r>
              <w:t xml:space="preserve">What matters in 3Q</w:t>
            </w:r>
          </w:p>
        </w:tc>
      </w:tr>
      <w:tr>
        <w:tc>
          <w:tcPr/>
          <w:p>
            <w:pPr>
              <w:pStyle w:val="Compact"/>
            </w:pPr>
            <w:r>
              <w:t xml:space="preserve">Commercial OEM</w:t>
            </w:r>
          </w:p>
        </w:tc>
        <w:tc>
          <w:tcPr/>
          <w:p>
            <w:pPr>
              <w:pStyle w:val="Compact"/>
              <w:jc w:val="right"/>
            </w:pPr>
            <w:r>
              <w:t xml:space="preserve">Low double digits to mid-teens</w:t>
            </w:r>
          </w:p>
        </w:tc>
        <w:tc>
          <w:tcPr/>
          <w:p>
            <w:pPr>
              <w:pStyle w:val="Compact"/>
            </w:pPr>
            <w:r>
              <w:t xml:space="preserve">OEM production-rate execution, bookings, supply-chain performance</w:t>
            </w:r>
          </w:p>
        </w:tc>
      </w:tr>
      <w:tr>
        <w:tc>
          <w:tcPr/>
          <w:p>
            <w:pPr>
              <w:pStyle w:val="Compact"/>
            </w:pPr>
            <w:r>
              <w:t xml:space="preserve">Commercial aftermarket</w:t>
            </w:r>
          </w:p>
        </w:tc>
        <w:tc>
          <w:tcPr/>
          <w:p>
            <w:pPr>
              <w:pStyle w:val="Compact"/>
              <w:jc w:val="right"/>
            </w:pPr>
            <w:r>
              <w:t xml:space="preserve">High single digits to low double digits</w:t>
            </w:r>
          </w:p>
        </w:tc>
        <w:tc>
          <w:tcPr/>
          <w:p>
            <w:pPr>
              <w:pStyle w:val="Compact"/>
            </w:pPr>
            <w:r>
              <w:t xml:space="preserve">Airline utilization, repair demand, distributor POS, book-to-bill</w:t>
            </w:r>
          </w:p>
        </w:tc>
      </w:tr>
      <w:tr>
        <w:tc>
          <w:tcPr/>
          <w:p>
            <w:pPr>
              <w:pStyle w:val="Compact"/>
            </w:pPr>
            <w:r>
              <w:t xml:space="preserve">Defense</w:t>
            </w:r>
          </w:p>
        </w:tc>
        <w:tc>
          <w:tcPr/>
          <w:p>
            <w:pPr>
              <w:pStyle w:val="Compact"/>
              <w:jc w:val="right"/>
            </w:pPr>
            <w:r>
              <w:t xml:space="preserve">High single digits</w:t>
            </w:r>
          </w:p>
        </w:tc>
        <w:tc>
          <w:tcPr/>
          <w:p>
            <w:pPr>
              <w:pStyle w:val="Compact"/>
            </w:pPr>
            <w:r>
              <w:t xml:space="preserve">Backlog conversion, timing of programs, booking cadence</w:t>
            </w:r>
          </w:p>
        </w:tc>
      </w:tr>
    </w:tbl>
    <w:p>
      <w:pPr>
        <w:pStyle w:val="BodyText"/>
      </w:pPr>
      <w:r>
        <w:t xml:space="preserve">TDG’s fiscal 2Q commentary suggested supply-chain constraints had largely normalized. Confirmation of that point would reinforce the company’s ability to convert demand and backlog into revenue.</w:t>
      </w:r>
    </w:p>
    <w:bookmarkEnd w:id="11"/>
    <w:bookmarkEnd w:id="12"/>
    <w:bookmarkStart w:id="13" w:name="Xd97453d0401d31540b0fed1130a55bf0fda76e0"/>
    <w:p>
      <w:pPr>
        <w:pStyle w:val="Heading2"/>
      </w:pPr>
      <w:r>
        <w:t xml:space="preserve">Guidance: the most important earnings-day variable</w:t>
      </w:r>
    </w:p>
    <w:p>
      <w:pPr>
        <w:pStyle w:val="FirstParagraph"/>
      </w:pPr>
      <w:r>
        <w:t xml:space="preserve">TDG raised fiscal 2026 guidance in May after fiscal 2Q results exceeded expectations. At the midpoint, the company increased guidance by:</w:t>
      </w:r>
    </w:p>
    <w:p>
      <w:pPr>
        <w:pStyle w:val="Compact"/>
        <w:numPr>
          <w:ilvl w:val="0"/>
          <w:numId w:val="1003"/>
        </w:numPr>
      </w:pPr>
      <w:r>
        <w:rPr>
          <w:b/>
          <w:bCs/>
        </w:rPr>
        <w:t xml:space="preserve">$420 million</w:t>
      </w:r>
      <w:r>
        <w:t xml:space="preserve"> </w:t>
      </w:r>
      <w:r>
        <w:t xml:space="preserve">for revenue,</w:t>
      </w:r>
    </w:p>
    <w:p>
      <w:pPr>
        <w:pStyle w:val="Compact"/>
        <w:numPr>
          <w:ilvl w:val="0"/>
          <w:numId w:val="1003"/>
        </w:numPr>
      </w:pPr>
      <w:r>
        <w:rPr>
          <w:b/>
          <w:bCs/>
        </w:rPr>
        <w:t xml:space="preserve">$210 million</w:t>
      </w:r>
      <w:r>
        <w:t xml:space="preserve"> </w:t>
      </w:r>
      <w:r>
        <w:t xml:space="preserve">for EBITDA As Defined, and</w:t>
      </w:r>
    </w:p>
    <w:p>
      <w:pPr>
        <w:pStyle w:val="Compact"/>
        <w:numPr>
          <w:ilvl w:val="0"/>
          <w:numId w:val="1003"/>
        </w:numPr>
      </w:pPr>
      <w:r>
        <w:rPr>
          <w:b/>
          <w:bCs/>
        </w:rPr>
        <w:t xml:space="preserve">$1.14</w:t>
      </w:r>
      <w:r>
        <w:t xml:space="preserve"> </w:t>
      </w:r>
      <w:r>
        <w:t xml:space="preserve">for adjusted EPS.</w:t>
      </w:r>
    </w:p>
    <w:p>
      <w:pPr>
        <w:pStyle w:val="FirstParagraph"/>
      </w:pPr>
      <w:r>
        <w:t xml:space="preserve">Current fiscal 2026 guidance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FY26 guidance</w:t>
            </w:r>
          </w:p>
        </w:tc>
        <w:tc>
          <w:tcPr/>
          <w:p>
            <w:pPr>
              <w:pStyle w:val="Compact"/>
              <w:jc w:val="right"/>
            </w:pPr>
            <w:r>
              <w:t xml:space="preserve">Midpoint</w:t>
            </w:r>
          </w:p>
        </w:tc>
      </w:tr>
      <w:tr>
        <w:tc>
          <w:tcPr/>
          <w:p>
            <w:pPr>
              <w:pStyle w:val="Compact"/>
            </w:pPr>
            <w:r>
              <w:t xml:space="preserve">Revenue</w:t>
            </w:r>
          </w:p>
        </w:tc>
        <w:tc>
          <w:tcPr/>
          <w:p>
            <w:pPr>
              <w:pStyle w:val="Compact"/>
              <w:jc w:val="right"/>
            </w:pPr>
            <m:oMath>
              <m:r>
                <m:t>10.30</m:t>
              </m:r>
              <m:r>
                <m:t>B</m:t>
              </m:r>
              <m:r>
                <m:rPr>
                  <m:sty m:val="p"/>
                </m:rPr>
                <m:t>–</m:t>
              </m:r>
            </m:oMath>
            <w:r>
              <w:t xml:space="preserve">10.42B</w:t>
            </w:r>
          </w:p>
        </w:tc>
        <w:tc>
          <w:tcPr/>
          <w:p>
            <w:pPr>
              <w:pStyle w:val="Compact"/>
              <w:jc w:val="right"/>
            </w:pPr>
            <w:r>
              <w:rPr>
                <w:b/>
                <w:bCs/>
              </w:rPr>
              <w:t xml:space="preserve">$10.36B</w:t>
            </w:r>
          </w:p>
        </w:tc>
      </w:tr>
      <w:tr>
        <w:tc>
          <w:tcPr/>
          <w:p>
            <w:pPr>
              <w:pStyle w:val="Compact"/>
            </w:pPr>
            <w:r>
              <w:t xml:space="preserve">EBITDA As Defined</w:t>
            </w:r>
          </w:p>
        </w:tc>
        <w:tc>
          <w:tcPr/>
          <w:p>
            <w:pPr>
              <w:pStyle w:val="Compact"/>
              <w:jc w:val="right"/>
            </w:pPr>
            <m:oMath>
              <m:r>
                <m:t>5.37</m:t>
              </m:r>
              <m:r>
                <m:t>B</m:t>
              </m:r>
              <m:r>
                <m:rPr>
                  <m:sty m:val="p"/>
                </m:rPr>
                <m:t>–</m:t>
              </m:r>
            </m:oMath>
            <w:r>
              <w:t xml:space="preserve">5.47B</w:t>
            </w:r>
          </w:p>
        </w:tc>
        <w:tc>
          <w:tcPr/>
          <w:p>
            <w:pPr>
              <w:pStyle w:val="Compact"/>
              <w:jc w:val="right"/>
            </w:pPr>
            <w:r>
              <w:rPr>
                <w:b/>
                <w:bCs/>
              </w:rPr>
              <w:t xml:space="preserve">$5.42B</w:t>
            </w:r>
          </w:p>
        </w:tc>
      </w:tr>
      <w:tr>
        <w:tc>
          <w:tcPr/>
          <w:p>
            <w:pPr>
              <w:pStyle w:val="Compact"/>
            </w:pPr>
            <w:r>
              <w:t xml:space="preserve">EBITDA margin</w:t>
            </w:r>
          </w:p>
        </w:tc>
        <w:tc>
          <w:tcPr/>
          <w:p>
            <w:pPr>
              <w:pStyle w:val="Compact"/>
              <w:jc w:val="right"/>
            </w:pPr>
            <w:r>
              <w:t xml:space="preserve">~52.3%</w:t>
            </w:r>
          </w:p>
        </w:tc>
        <w:tc>
          <w:tcPr/>
          <w:p>
            <w:pPr>
              <w:pStyle w:val="Compact"/>
              <w:jc w:val="right"/>
            </w:pPr>
            <w:r>
              <w:rPr>
                <w:b/>
                <w:bCs/>
              </w:rPr>
              <w:t xml:space="preserve">~52.3%</w:t>
            </w:r>
          </w:p>
        </w:tc>
      </w:tr>
      <w:tr>
        <w:tc>
          <w:tcPr/>
          <w:p>
            <w:pPr>
              <w:pStyle w:val="Compact"/>
            </w:pPr>
            <w:r>
              <w:t xml:space="preserve">Adjusted EPS</w:t>
            </w:r>
          </w:p>
        </w:tc>
        <w:tc>
          <w:tcPr/>
          <w:p>
            <w:pPr>
              <w:pStyle w:val="Compact"/>
              <w:jc w:val="right"/>
            </w:pPr>
            <m:oMath>
              <m:r>
                <m:t>38.83</m:t>
              </m:r>
              <m:r>
                <m:rPr>
                  <m:sty m:val="p"/>
                </m:rPr>
                <m:t>–</m:t>
              </m:r>
            </m:oMath>
            <w:r>
              <w:t xml:space="preserve">40.21</w:t>
            </w:r>
          </w:p>
        </w:tc>
        <w:tc>
          <w:tcPr/>
          <w:p>
            <w:pPr>
              <w:pStyle w:val="Compact"/>
              <w:jc w:val="right"/>
            </w:pPr>
            <w:r>
              <w:rPr>
                <w:b/>
                <w:bCs/>
              </w:rPr>
              <w:t xml:space="preserve">$39.52</w:t>
            </w:r>
          </w:p>
        </w:tc>
      </w:tr>
      <w:tr>
        <w:tc>
          <w:tcPr/>
          <w:p>
            <w:pPr>
              <w:pStyle w:val="Compact"/>
            </w:pPr>
            <w:r>
              <w:t xml:space="preserve">Free cash flow</w:t>
            </w:r>
          </w:p>
        </w:tc>
        <w:tc>
          <w:tcPr/>
          <w:p>
            <w:pPr>
              <w:pStyle w:val="Compact"/>
              <w:jc w:val="right"/>
            </w:pPr>
            <w:r>
              <w:t xml:space="preserve">Approximately $2.5B</w:t>
            </w:r>
          </w:p>
        </w:tc>
        <w:tc>
          <w:tcPr/>
          <w:p>
            <w:pPr>
              <w:pStyle w:val="Compact"/>
              <w:jc w:val="right"/>
            </w:pPr>
            <w:r>
              <w:rPr>
                <w:b/>
                <w:bCs/>
              </w:rPr>
              <w:t xml:space="preserve">~$2.5B</w:t>
            </w:r>
          </w:p>
        </w:tc>
      </w:tr>
    </w:tbl>
    <w:p>
      <w:pPr>
        <w:pStyle w:val="BodyText"/>
      </w:pPr>
      <w:r>
        <w:t xml:space="preserve">After producing</w:t>
      </w:r>
      <w:r>
        <w:t xml:space="preserve"> </w:t>
      </w:r>
      <m:oMath>
        <m:r>
          <m:t>4.828</m:t>
        </m:r>
        <m:r>
          <m:t>b</m:t>
        </m:r>
        <m:r>
          <m:t>i</m:t>
        </m:r>
        <m:r>
          <m:t>l</m:t>
        </m:r>
        <m:r>
          <m:t>l</m:t>
        </m:r>
        <m:r>
          <m:t>i</m:t>
        </m:r>
        <m:r>
          <m:t>o</m:t>
        </m:r>
        <m:r>
          <m:t>n</m:t>
        </m:r>
        <m:r>
          <m:rPr>
            <m:sty m:val="p"/>
          </m:rPr>
          <m:t>*</m:t>
        </m:r>
        <m:r>
          <m:rPr>
            <m:sty m:val="p"/>
          </m:rPr>
          <m:t>*</m:t>
        </m:r>
        <m:r>
          <m:t>i</m:t>
        </m:r>
        <m:r>
          <m:t>n</m:t>
        </m:r>
        <m:r>
          <m:t>r</m:t>
        </m:r>
        <m:r>
          <m:t>e</m:t>
        </m:r>
        <m:r>
          <m:t>v</m:t>
        </m:r>
        <m:r>
          <m:t>e</m:t>
        </m:r>
        <m:r>
          <m:t>n</m:t>
        </m:r>
        <m:r>
          <m:t>u</m:t>
        </m:r>
        <m:r>
          <m:t>e</m:t>
        </m:r>
        <m:r>
          <m:rPr>
            <m:sty m:val="p"/>
          </m:rPr>
          <m:t>,</m:t>
        </m:r>
        <m:r>
          <m:rPr>
            <m:sty m:val="p"/>
          </m:rPr>
          <m:t>*</m:t>
        </m:r>
        <m:r>
          <m:rPr>
            <m:sty m:val="p"/>
          </m:rPr>
          <m:t>*</m:t>
        </m:r>
      </m:oMath>
      <w:r>
        <w:rPr>
          <w:b/>
          <w:bCs/>
        </w:rPr>
        <w:t xml:space="preserve">2.534 billion</w:t>
      </w:r>
      <w:r>
        <w:t xml:space="preserve"> </w:t>
      </w:r>
      <w:r>
        <w:t xml:space="preserve">in EBITDA As Defined, and</w:t>
      </w:r>
      <w:r>
        <w:t xml:space="preserve"> </w:t>
      </w:r>
      <w:r>
        <w:rPr>
          <w:b/>
          <w:bCs/>
        </w:rPr>
        <w:t xml:space="preserve">$18.09</w:t>
      </w:r>
      <w:r>
        <w:t xml:space="preserve"> </w:t>
      </w:r>
      <w:r>
        <w:t xml:space="preserve">in adjusted EPS in the first half, the full-year midpoint implies the following for the second half combined: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Implied FY26 second-half requirement</w:t>
            </w:r>
          </w:p>
        </w:tc>
        <w:tc>
          <w:tcPr/>
          <w:p>
            <w:pPr>
              <w:pStyle w:val="Compact"/>
              <w:jc w:val="right"/>
            </w:pPr>
            <w:r>
              <w:t xml:space="preserve">Amount</w:t>
            </w:r>
          </w:p>
        </w:tc>
      </w:tr>
      <w:tr>
        <w:tc>
          <w:tcPr/>
          <w:p>
            <w:pPr>
              <w:pStyle w:val="Compact"/>
            </w:pPr>
            <w:r>
              <w:t xml:space="preserve">Revenue</w:t>
            </w:r>
          </w:p>
        </w:tc>
        <w:tc>
          <w:tcPr/>
          <w:p>
            <w:pPr>
              <w:pStyle w:val="Compact"/>
              <w:jc w:val="right"/>
            </w:pPr>
            <w:r>
              <w:rPr>
                <w:b/>
                <w:bCs/>
              </w:rPr>
              <w:t xml:space="preserve">$5.532B</w:t>
            </w:r>
          </w:p>
        </w:tc>
      </w:tr>
      <w:tr>
        <w:tc>
          <w:tcPr/>
          <w:p>
            <w:pPr>
              <w:pStyle w:val="Compact"/>
            </w:pPr>
            <w:r>
              <w:t xml:space="preserve">EBITDA As Defined</w:t>
            </w:r>
          </w:p>
        </w:tc>
        <w:tc>
          <w:tcPr/>
          <w:p>
            <w:pPr>
              <w:pStyle w:val="Compact"/>
              <w:jc w:val="right"/>
            </w:pPr>
            <w:r>
              <w:rPr>
                <w:b/>
                <w:bCs/>
              </w:rPr>
              <w:t xml:space="preserve">$2.886B</w:t>
            </w:r>
          </w:p>
        </w:tc>
      </w:tr>
      <w:tr>
        <w:tc>
          <w:tcPr/>
          <w:p>
            <w:pPr>
              <w:pStyle w:val="Compact"/>
            </w:pPr>
            <w:r>
              <w:t xml:space="preserve">Adjusted EPS</w:t>
            </w:r>
          </w:p>
        </w:tc>
        <w:tc>
          <w:tcPr/>
          <w:p>
            <w:pPr>
              <w:pStyle w:val="Compact"/>
              <w:jc w:val="right"/>
            </w:pPr>
            <w:r>
              <w:rPr>
                <w:b/>
                <w:bCs/>
              </w:rPr>
              <w:t xml:space="preserve">$21.43</w:t>
            </w:r>
          </w:p>
        </w:tc>
      </w:tr>
    </w:tbl>
    <w:p>
      <w:pPr>
        <w:pStyle w:val="BodyText"/>
      </w:pPr>
      <w:r>
        <w:t xml:space="preserve">This is an achievable target given the contribution from acquisitions and underlying aerospace demand, but it creates a high bar for maintaining the guidance range. A reiteration would likely be viewed as constructive; another increase would require robust aftermarket performance, solid OEM conversion, and little evidence of external-demand disruption.</w:t>
      </w:r>
    </w:p>
    <w:bookmarkEnd w:id="13"/>
    <w:bookmarkStart w:id="14" w:name="margins-growth-is-not-enough"/>
    <w:p>
      <w:pPr>
        <w:pStyle w:val="Heading2"/>
      </w:pPr>
      <w:r>
        <w:t xml:space="preserve">Margins: growth is not enough</w:t>
      </w:r>
    </w:p>
    <w:p>
      <w:pPr>
        <w:pStyle w:val="FirstParagraph"/>
      </w:pPr>
      <w:r>
        <w:t xml:space="preserve">Fiscal 2Q EBITDA As Defined margin was</w:t>
      </w:r>
      <w:r>
        <w:t xml:space="preserve"> </w:t>
      </w:r>
      <w:r>
        <w:rPr>
          <w:b/>
          <w:bCs/>
        </w:rPr>
        <w:t xml:space="preserve">52.6%</w:t>
      </w:r>
      <w:r>
        <w:t xml:space="preserve">, down from</w:t>
      </w:r>
      <w:r>
        <w:t xml:space="preserve"> </w:t>
      </w:r>
      <w:r>
        <w:rPr>
          <w:b/>
          <w:bCs/>
        </w:rPr>
        <w:t xml:space="preserve">54.0%</w:t>
      </w:r>
      <w:r>
        <w:t xml:space="preserve"> </w:t>
      </w:r>
      <w:r>
        <w:t xml:space="preserve">a year earlier, principally reflecting acquisition dilution. Management expects approximately</w:t>
      </w:r>
      <w:r>
        <w:t xml:space="preserve"> </w:t>
      </w:r>
      <w:r>
        <w:rPr>
          <w:b/>
          <w:bCs/>
        </w:rPr>
        <w:t xml:space="preserve">52.3%</w:t>
      </w:r>
      <w:r>
        <w:t xml:space="preserve"> </w:t>
      </w:r>
      <w:r>
        <w:t xml:space="preserve">for FY26.</w:t>
      </w:r>
    </w:p>
    <w:p>
      <w:pPr>
        <w:pStyle w:val="BodyText"/>
      </w:pPr>
      <w:r>
        <w:t xml:space="preserve">The margin debate is important because TDG’s historically exceptional profitability is a major part of the valuation case. Management has said that:</w:t>
      </w:r>
    </w:p>
    <w:p>
      <w:pPr>
        <w:pStyle w:val="Compact"/>
        <w:numPr>
          <w:ilvl w:val="0"/>
          <w:numId w:val="1004"/>
        </w:numPr>
      </w:pPr>
      <w:r>
        <w:t xml:space="preserve">Recent acquisitions are causing roughly</w:t>
      </w:r>
      <w:r>
        <w:t xml:space="preserve"> </w:t>
      </w:r>
      <w:r>
        <w:rPr>
          <w:b/>
          <w:bCs/>
        </w:rPr>
        <w:t xml:space="preserve">two percentage points</w:t>
      </w:r>
      <w:r>
        <w:t xml:space="preserve"> </w:t>
      </w:r>
      <w:r>
        <w:t xml:space="preserve">of margin dilution.</w:t>
      </w:r>
    </w:p>
    <w:p>
      <w:pPr>
        <w:pStyle w:val="Compact"/>
        <w:numPr>
          <w:ilvl w:val="0"/>
          <w:numId w:val="1004"/>
        </w:numPr>
      </w:pPr>
      <w:r>
        <w:t xml:space="preserve">Base businesses should still be capable of approximately</w:t>
      </w:r>
      <w:r>
        <w:t xml:space="preserve"> </w:t>
      </w:r>
      <w:r>
        <w:rPr>
          <w:b/>
          <w:bCs/>
        </w:rPr>
        <w:t xml:space="preserve">100–150 basis points of annual margin improvement</w:t>
      </w:r>
      <w:r>
        <w:t xml:space="preserve"> </w:t>
      </w:r>
      <w:r>
        <w:t xml:space="preserve">on a comparable business-mix basis.</w:t>
      </w:r>
    </w:p>
    <w:p>
      <w:pPr>
        <w:pStyle w:val="Compact"/>
        <w:numPr>
          <w:ilvl w:val="0"/>
          <w:numId w:val="1004"/>
        </w:numPr>
      </w:pPr>
      <w:r>
        <w:t xml:space="preserve">Servotronics and Simmonds were performing somewhat ahead of the company’s initial integration expectations.</w:t>
      </w:r>
    </w:p>
    <w:p>
      <w:pPr>
        <w:pStyle w:val="FirstParagraph"/>
      </w:pPr>
      <w:r>
        <w:t xml:space="preserve">Fiscal 3Q includes a full quarter of the April acquisitions of</w:t>
      </w:r>
      <w:r>
        <w:t xml:space="preserve"> </w:t>
      </w:r>
      <w:r>
        <w:rPr>
          <w:b/>
          <w:bCs/>
        </w:rPr>
        <w:t xml:space="preserve">Jet Parts Engineering</w:t>
      </w:r>
      <w:r>
        <w:t xml:space="preserve"> </w:t>
      </w:r>
      <w:r>
        <w:t xml:space="preserve">and</w:t>
      </w:r>
      <w:r>
        <w:t xml:space="preserve"> </w:t>
      </w:r>
      <w:r>
        <w:rPr>
          <w:b/>
          <w:bCs/>
        </w:rPr>
        <w:t xml:space="preserve">Victor Sierra Aviation</w:t>
      </w:r>
      <w:r>
        <w:t xml:space="preserve">. Those businesses add attractive aftermarket exposure—particularly in PMA/OEM-alternative parts—but will likely remain dilutive in the near term.</w:t>
      </w:r>
    </w:p>
    <w:p>
      <w:pPr>
        <w:pStyle w:val="BodyText"/>
      </w:pPr>
      <w:r>
        <w:rPr>
          <w:b/>
          <w:bCs/>
        </w:rPr>
        <w:t xml:space="preserve">Bullish margin outcome:</w:t>
      </w:r>
      <w:r>
        <w:t xml:space="preserve"> </w:t>
      </w:r>
      <w:r>
        <w:t xml:space="preserve">reported margin holds near or above the full-year target despite acquisition dilution, implying strong base-business pricing, cost discipline, and favorable aftermarket mix.</w:t>
      </w:r>
    </w:p>
    <w:p>
      <w:pPr>
        <w:pStyle w:val="BodyText"/>
      </w:pPr>
      <w:r>
        <w:rPr>
          <w:b/>
          <w:bCs/>
        </w:rPr>
        <w:t xml:space="preserve">Bearish margin outcome:</w:t>
      </w:r>
      <w:r>
        <w:t xml:space="preserve"> </w:t>
      </w:r>
      <w:r>
        <w:t xml:space="preserve">reported margin declines materially, with management attributing it to acquired-business mix, integration costs, OEM mix, or slower conversion. Even if understandable, that outcome could pressure expectations for fiscal 2027 expansion.</w:t>
      </w:r>
    </w:p>
    <w:bookmarkEnd w:id="14"/>
    <w:bookmarkStart w:id="17" w:name="X07f4d25c89dbb68ecd92f7e25ce1369fc870612"/>
    <w:p>
      <w:pPr>
        <w:pStyle w:val="Heading2"/>
      </w:pPr>
      <w:r>
        <w:t xml:space="preserve">Acquisitions and capital allocation: both opportunity and risk</w:t>
      </w:r>
    </w:p>
    <w:p>
      <w:pPr>
        <w:pStyle w:val="FirstParagraph"/>
      </w:pPr>
      <w:r>
        <w:t xml:space="preserve">TDG’s acquisition engine remains central to the investment thesis.</w:t>
      </w:r>
    </w:p>
    <w:bookmarkStart w:id="15" w:name="recent-and-pending-transactions"/>
    <w:p>
      <w:pPr>
        <w:pStyle w:val="Heading3"/>
      </w:pPr>
      <w:r>
        <w:t xml:space="preserve">Recent and pending transactions</w:t>
      </w:r>
    </w:p>
    <w:p>
      <w:pPr>
        <w:pStyle w:val="Compact"/>
        <w:numPr>
          <w:ilvl w:val="0"/>
          <w:numId w:val="1005"/>
        </w:numPr>
      </w:pPr>
      <w:r>
        <w:rPr>
          <w:b/>
          <w:bCs/>
        </w:rPr>
        <w:t xml:space="preserve">Jet Parts Engineering and Victor Sierra Aviation:</w:t>
      </w:r>
      <w:r>
        <w:t xml:space="preserve"> </w:t>
      </w:r>
      <w:r>
        <w:t xml:space="preserve">acquired April 7 for approximately</w:t>
      </w:r>
      <w:r>
        <w:t xml:space="preserve"> </w:t>
      </w:r>
      <w:r>
        <w:rPr>
          <w:b/>
          <w:bCs/>
        </w:rPr>
        <w:t xml:space="preserve">$2.2 billion</w:t>
      </w:r>
      <w:r>
        <w:t xml:space="preserve">. Both are predominantly commercial-aftermarket PMA businesses.</w:t>
      </w:r>
    </w:p>
    <w:p>
      <w:pPr>
        <w:pStyle w:val="Compact"/>
        <w:numPr>
          <w:ilvl w:val="0"/>
          <w:numId w:val="1005"/>
        </w:numPr>
      </w:pPr>
      <w:r>
        <w:rPr>
          <w:b/>
          <w:bCs/>
        </w:rPr>
        <w:t xml:space="preserve">Stellant Systems:</w:t>
      </w:r>
      <w:r>
        <w:t xml:space="preserve"> </w:t>
      </w:r>
      <w:r>
        <w:t xml:space="preserve">announced at approximately</w:t>
      </w:r>
      <w:r>
        <w:t xml:space="preserve"> </w:t>
      </w:r>
      <w:r>
        <w:rPr>
          <w:b/>
          <w:bCs/>
        </w:rPr>
        <w:t xml:space="preserve">$960 million</w:t>
      </w:r>
      <w:r>
        <w:t xml:space="preserve">; it was still pending and excluded from the May FY26 guide. Investors should look for a closing/status update and any initial comments on financial contribution.</w:t>
      </w:r>
    </w:p>
    <w:p>
      <w:pPr>
        <w:pStyle w:val="Compact"/>
        <w:numPr>
          <w:ilvl w:val="0"/>
          <w:numId w:val="1005"/>
        </w:numPr>
      </w:pPr>
      <w:r>
        <w:rPr>
          <w:b/>
          <w:bCs/>
        </w:rPr>
        <w:t xml:space="preserve">Prince &amp; Izant:</w:t>
      </w:r>
      <w:r>
        <w:t xml:space="preserve"> </w:t>
      </w:r>
      <w:r>
        <w:t xml:space="preserve">announced July 27 for approximately</w:t>
      </w:r>
      <w:r>
        <w:t xml:space="preserve"> </w:t>
      </w:r>
      <m:oMath>
        <m:r>
          <m:t>1.066</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c</m:t>
        </m:r>
        <m:r>
          <m:t>e</m:t>
        </m:r>
        <m:r>
          <m:t>r</m:t>
        </m:r>
        <m:r>
          <m:t>t</m:t>
        </m:r>
        <m:r>
          <m:t>a</m:t>
        </m:r>
        <m:r>
          <m:t>i</m:t>
        </m:r>
        <m:r>
          <m:t>n</m:t>
        </m:r>
        <m:r>
          <m:t>t</m:t>
        </m:r>
        <m:r>
          <m:t>a</m:t>
        </m:r>
        <m:r>
          <m:t>x</m:t>
        </m:r>
        <m:r>
          <m:t>b</m:t>
        </m:r>
        <m:r>
          <m:t>e</m:t>
        </m:r>
        <m:r>
          <m:t>n</m:t>
        </m:r>
        <m:r>
          <m:t>e</m:t>
        </m:r>
        <m:r>
          <m:t>f</m:t>
        </m:r>
        <m:r>
          <m:t>i</m:t>
        </m:r>
        <m:r>
          <m:t>t</m:t>
        </m:r>
        <m:r>
          <m:t>s</m:t>
        </m:r>
        <m:r>
          <m:rPr>
            <m:sty m:val="p"/>
          </m:rPr>
          <m:t>.</m:t>
        </m:r>
        <m:r>
          <m:t>T</m:t>
        </m:r>
        <m:r>
          <m:t>h</m:t>
        </m:r>
        <m:r>
          <m:t>e</m:t>
        </m:r>
        <m:r>
          <m:t>t</m:t>
        </m:r>
        <m:r>
          <m:t>a</m:t>
        </m:r>
        <m:r>
          <m:t>r</m:t>
        </m:r>
        <m:r>
          <m:t>g</m:t>
        </m:r>
        <m:r>
          <m:t>e</m:t>
        </m:r>
        <m:r>
          <m:t>t</m:t>
        </m:r>
        <m:r>
          <m:t>i</m:t>
        </m:r>
        <m:r>
          <m:t>s</m:t>
        </m:r>
        <m:r>
          <m:t>e</m:t>
        </m:r>
        <m:r>
          <m:t>x</m:t>
        </m:r>
        <m:r>
          <m:t>p</m:t>
        </m:r>
        <m:r>
          <m:t>e</m:t>
        </m:r>
        <m:r>
          <m:t>c</m:t>
        </m:r>
        <m:r>
          <m:t>t</m:t>
        </m:r>
        <m:r>
          <m:t>e</m:t>
        </m:r>
        <m:r>
          <m:t>d</m:t>
        </m:r>
        <m:r>
          <m:t>t</m:t>
        </m:r>
        <m:r>
          <m:t>o</m:t>
        </m:r>
        <m:r>
          <m:t>g</m:t>
        </m:r>
        <m:r>
          <m:t>e</m:t>
        </m:r>
        <m:r>
          <m:t>n</m:t>
        </m:r>
        <m:r>
          <m:t>e</m:t>
        </m:r>
        <m:r>
          <m:t>r</m:t>
        </m:r>
        <m:r>
          <m:t>a</m:t>
        </m:r>
        <m:r>
          <m:t>t</m:t>
        </m:r>
        <m:r>
          <m:t>e</m:t>
        </m:r>
        <m:r>
          <m:t>a</m:t>
        </m:r>
        <m:r>
          <m:t>b</m:t>
        </m:r>
        <m:r>
          <m:t>o</m:t>
        </m:r>
        <m:r>
          <m:t>u</m:t>
        </m:r>
        <m:r>
          <m:t>t</m:t>
        </m:r>
        <m:r>
          <m:rPr>
            <m:sty m:val="p"/>
          </m:rPr>
          <m:t>*</m:t>
        </m:r>
        <m:r>
          <m:rPr>
            <m:sty m:val="p"/>
          </m:rPr>
          <m:t>*</m:t>
        </m:r>
      </m:oMath>
      <w:r>
        <w:rPr>
          <w:b/>
          <w:bCs/>
        </w:rPr>
        <w:t xml:space="preserve">360 million of calendar-2026 revenue</w:t>
      </w:r>
      <w:r>
        <w:t xml:space="preserve"> </w:t>
      </w:r>
      <w:r>
        <w:t xml:space="preserve">and derives most revenue from aftermarket-oriented, proprietary specialty-metal products serving aerospace, defense, turbine, and other markets.</w:t>
      </w:r>
    </w:p>
    <w:p>
      <w:pPr>
        <w:pStyle w:val="FirstParagraph"/>
      </w:pPr>
      <w:r>
        <w:t xml:space="preserve">Prince &amp; Izant reinforces TDG’s appetite for niche, engineered, high-cost-of-failure components with aftermarket content. It also brings more commodity exposure through gold, silver, and platinum alloy products, although TDG’s investment case generally rests on its ability to price to value rather than merely pass through costs.</w:t>
      </w:r>
    </w:p>
    <w:bookmarkEnd w:id="15"/>
    <w:bookmarkStart w:id="16" w:name="leverage-and-shareholder-returns"/>
    <w:p>
      <w:pPr>
        <w:pStyle w:val="Heading3"/>
      </w:pPr>
      <w:r>
        <w:t xml:space="preserve">Leverage and shareholder returns</w:t>
      </w:r>
    </w:p>
    <w:p>
      <w:pPr>
        <w:pStyle w:val="FirstParagraph"/>
      </w:pPr>
      <w:r>
        <w:t xml:space="preserve">At the end of fiscal 2Q, TDG reported approximately</w:t>
      </w:r>
      <w:r>
        <w:t xml:space="preserve"> </w:t>
      </w:r>
      <w:r>
        <w:rPr>
          <w:b/>
          <w:bCs/>
        </w:rPr>
        <w:t xml:space="preserve">$32.0 billion</w:t>
      </w:r>
      <w:r>
        <w:t xml:space="preserve"> </w:t>
      </w:r>
      <w:r>
        <w:t xml:space="preserve">of total debt, before the subsequent April incremental debt issuance. Management indicated pro forma net debt to EBITDA of roughly</w:t>
      </w:r>
      <w:r>
        <w:t xml:space="preserve"> </w:t>
      </w:r>
      <w:r>
        <w:rPr>
          <w:b/>
          <w:bCs/>
        </w:rPr>
        <w:t xml:space="preserve">5.9x</w:t>
      </w:r>
      <w:r>
        <w:t xml:space="preserve"> </w:t>
      </w:r>
      <w:r>
        <w:t xml:space="preserve">following the Jet Parts and Victor Sierra acquisition, within its stated operating range of roughly</w:t>
      </w:r>
      <w:r>
        <w:t xml:space="preserve"> </w:t>
      </w:r>
      <w:r>
        <w:rPr>
          <w:b/>
          <w:bCs/>
        </w:rPr>
        <w:t xml:space="preserve">5x–7x</w:t>
      </w:r>
      <w:r>
        <w:t xml:space="preserve">.</w:t>
      </w:r>
    </w:p>
    <w:p>
      <w:pPr>
        <w:pStyle w:val="BodyText"/>
      </w:pPr>
      <w:r>
        <w:t xml:space="preserve">The company also repurchased about</w:t>
      </w:r>
      <w:r>
        <w:t xml:space="preserve"> </w:t>
      </w:r>
      <w:r>
        <w:rPr>
          <w:b/>
          <w:bCs/>
        </w:rPr>
        <w:t xml:space="preserve">$905 million</w:t>
      </w:r>
      <w:r>
        <w:t xml:space="preserve"> </w:t>
      </w:r>
      <w:r>
        <w:t xml:space="preserve">of stock through early April, at an average purchase price near</w:t>
      </w:r>
      <w:r>
        <w:t xml:space="preserve"> </w:t>
      </w:r>
      <m:oMath>
        <m:r>
          <m:t>1</m:t>
        </m:r>
        <m:r>
          <m:rPr>
            <m:sty m:val="p"/>
          </m:rPr>
          <m:t>,</m:t>
        </m:r>
        <m:r>
          <m:t>200</m:t>
        </m:r>
        <m:r>
          <m:t>p</m:t>
        </m:r>
        <m:r>
          <m:t>e</m:t>
        </m:r>
        <m:r>
          <m:t>r</m:t>
        </m:r>
        <m:r>
          <m:t>s</m:t>
        </m:r>
        <m:r>
          <m:t>h</m:t>
        </m:r>
        <m:r>
          <m:t>a</m:t>
        </m:r>
        <m:r>
          <m:t>r</m:t>
        </m:r>
        <m:r>
          <m:t>e</m:t>
        </m:r>
        <m:r>
          <m:rPr>
            <m:sty m:val="p"/>
          </m:rPr>
          <m:t>.</m:t>
        </m:r>
        <m:r>
          <m:t>I</m:t>
        </m:r>
        <m:r>
          <m:t>t</m:t>
        </m:r>
        <m:r>
          <m:t>h</m:t>
        </m:r>
        <m:r>
          <m:t>a</m:t>
        </m:r>
        <m:r>
          <m:t>d</m:t>
        </m:r>
        <m:r>
          <m:t>a</m:t>
        </m:r>
        <m:r>
          <m:t>p</m:t>
        </m:r>
        <m:r>
          <m:t>p</m:t>
        </m:r>
        <m:r>
          <m:t>r</m:t>
        </m:r>
        <m:r>
          <m:t>o</m:t>
        </m:r>
        <m:r>
          <m:t>x</m:t>
        </m:r>
        <m:r>
          <m:t>i</m:t>
        </m:r>
        <m:r>
          <m:t>m</m:t>
        </m:r>
        <m:r>
          <m:t>a</m:t>
        </m:r>
        <m:r>
          <m:t>t</m:t>
        </m:r>
        <m:r>
          <m:t>e</m:t>
        </m:r>
        <m:r>
          <m:t>l</m:t>
        </m:r>
        <m:r>
          <m:t>y</m:t>
        </m:r>
        <m:r>
          <m:rPr>
            <m:sty m:val="p"/>
          </m:rPr>
          <m:t>*</m:t>
        </m:r>
        <m:r>
          <m:rPr>
            <m:sty m:val="p"/>
          </m:rPr>
          <m:t>*</m:t>
        </m:r>
      </m:oMath>
      <w:r>
        <w:t xml:space="preserve">5.0 billion** remaining under its repurchase authorization as of the fiscal 2Q filing.</w:t>
      </w:r>
    </w:p>
    <w:p>
      <w:pPr>
        <w:pStyle w:val="BodyText"/>
      </w:pPr>
      <w:r>
        <w:t xml:space="preserve">The report should clarify whether TDG still sees room to simultaneously fund acquisitions, maintain its leverage framework, and repurchase shares. The company’s model has long supported that approach, but growing interest expense is the counterweight: fiscal 2Q net interest expense increased</w:t>
      </w:r>
      <w:r>
        <w:t xml:space="preserve"> </w:t>
      </w:r>
      <w:r>
        <w:rPr>
          <w:b/>
          <w:bCs/>
        </w:rPr>
        <w:t xml:space="preserve">28% year over year</w:t>
      </w:r>
      <w:r>
        <w:t xml:space="preserve"> </w:t>
      </w:r>
      <w:r>
        <w:t xml:space="preserve">to</w:t>
      </w:r>
      <w:r>
        <w:t xml:space="preserve"> </w:t>
      </w:r>
      <w:r>
        <w:rPr>
          <w:b/>
          <w:bCs/>
        </w:rPr>
        <w:t xml:space="preserve">$484 million</w:t>
      </w:r>
      <w:r>
        <w:t xml:space="preserve">.</w:t>
      </w:r>
    </w:p>
    <w:bookmarkEnd w:id="16"/>
    <w:bookmarkEnd w:id="17"/>
    <w:bookmarkStart w:id="18" w:name="X3cd81c6a1111723bb731f82e99616280c3d6324"/>
    <w:p>
      <w:pPr>
        <w:pStyle w:val="Heading2"/>
      </w:pPr>
      <w:r>
        <w:t xml:space="preserve">Key numbers from the prior-year comparison</w:t>
      </w:r>
    </w:p>
    <w:p>
      <w:pPr>
        <w:pStyle w:val="FirstParagraph"/>
      </w:pPr>
      <w:r>
        <w:t xml:space="preserve">Fiscal 3Q25 provides a useful baseline: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3Q25 result</w:t>
            </w:r>
          </w:p>
        </w:tc>
        <w:tc>
          <w:tcPr/>
          <w:p>
            <w:pPr>
              <w:pStyle w:val="Compact"/>
              <w:jc w:val="right"/>
            </w:pPr>
            <w:r>
              <w:t xml:space="preserve">Reported</w:t>
            </w:r>
          </w:p>
        </w:tc>
      </w:tr>
      <w:tr>
        <w:tc>
          <w:tcPr/>
          <w:p>
            <w:pPr>
              <w:pStyle w:val="Compact"/>
            </w:pPr>
            <w:r>
              <w:t xml:space="preserve">Revenue</w:t>
            </w:r>
          </w:p>
        </w:tc>
        <w:tc>
          <w:tcPr/>
          <w:p>
            <w:pPr>
              <w:pStyle w:val="Compact"/>
              <w:jc w:val="right"/>
            </w:pPr>
            <w:r>
              <w:t xml:space="preserve">$2.237B</w:t>
            </w:r>
          </w:p>
        </w:tc>
      </w:tr>
      <w:tr>
        <w:tc>
          <w:tcPr/>
          <w:p>
            <w:pPr>
              <w:pStyle w:val="Compact"/>
            </w:pPr>
            <w:r>
              <w:t xml:space="preserve">Organic revenue growth</w:t>
            </w:r>
          </w:p>
        </w:tc>
        <w:tc>
          <w:tcPr/>
          <w:p>
            <w:pPr>
              <w:pStyle w:val="Compact"/>
              <w:jc w:val="right"/>
            </w:pPr>
            <w:r>
              <w:t xml:space="preserve">6.3%</w:t>
            </w:r>
          </w:p>
        </w:tc>
      </w:tr>
      <w:tr>
        <w:tc>
          <w:tcPr/>
          <w:p>
            <w:pPr>
              <w:pStyle w:val="Compact"/>
            </w:pPr>
            <w:r>
              <w:t xml:space="preserve">EBITDA As Defined</w:t>
            </w:r>
          </w:p>
        </w:tc>
        <w:tc>
          <w:tcPr/>
          <w:p>
            <w:pPr>
              <w:pStyle w:val="Compact"/>
              <w:jc w:val="right"/>
            </w:pPr>
            <w:r>
              <w:t xml:space="preserve">$1.217B</w:t>
            </w:r>
          </w:p>
        </w:tc>
      </w:tr>
      <w:tr>
        <w:tc>
          <w:tcPr/>
          <w:p>
            <w:pPr>
              <w:pStyle w:val="Compact"/>
            </w:pPr>
            <w:r>
              <w:t xml:space="preserve">EBITDA margin</w:t>
            </w:r>
          </w:p>
        </w:tc>
        <w:tc>
          <w:tcPr/>
          <w:p>
            <w:pPr>
              <w:pStyle w:val="Compact"/>
              <w:jc w:val="right"/>
            </w:pPr>
            <w:r>
              <w:t xml:space="preserve">54.4%</w:t>
            </w:r>
          </w:p>
        </w:tc>
      </w:tr>
      <w:tr>
        <w:tc>
          <w:tcPr/>
          <w:p>
            <w:pPr>
              <w:pStyle w:val="Compact"/>
            </w:pPr>
            <w:r>
              <w:t xml:space="preserve">Adjusted EPS</w:t>
            </w:r>
          </w:p>
        </w:tc>
        <w:tc>
          <w:tcPr/>
          <w:p>
            <w:pPr>
              <w:pStyle w:val="Compact"/>
              <w:jc w:val="right"/>
            </w:pPr>
            <w:r>
              <w:t xml:space="preserve">$9.60</w:t>
            </w:r>
          </w:p>
        </w:tc>
      </w:tr>
    </w:tbl>
    <w:p>
      <w:pPr>
        <w:pStyle w:val="BodyText"/>
      </w:pPr>
      <w:r>
        <w:t xml:space="preserve">For 3Q26, reported growth should benefit materially from the April acquisitions. Therefore, investors should prioritize</w:t>
      </w:r>
      <w:r>
        <w:t xml:space="preserve"> </w:t>
      </w:r>
      <w:r>
        <w:rPr>
          <w:b/>
          <w:bCs/>
        </w:rPr>
        <w:t xml:space="preserve">organic growth, market-channel commentary, and margins</w:t>
      </w:r>
      <w:r>
        <w:t xml:space="preserve"> </w:t>
      </w:r>
      <w:r>
        <w:t xml:space="preserve">over headline revenue growth alone.</w:t>
      </w:r>
    </w:p>
    <w:bookmarkEnd w:id="18"/>
    <w:bookmarkStart w:id="19" w:name="bull-case"/>
    <w:p>
      <w:pPr>
        <w:pStyle w:val="Heading2"/>
      </w:pPr>
      <w:r>
        <w:t xml:space="preserve">Bull case</w:t>
      </w:r>
    </w:p>
    <w:p>
      <w:pPr>
        <w:pStyle w:val="FirstParagraph"/>
      </w:pPr>
      <w:r>
        <w:t xml:space="preserve">A favorable report would feature:</w:t>
      </w:r>
    </w:p>
    <w:p>
      <w:pPr>
        <w:pStyle w:val="Compact"/>
        <w:numPr>
          <w:ilvl w:val="0"/>
          <w:numId w:val="1006"/>
        </w:numPr>
      </w:pPr>
      <w:r>
        <w:t xml:space="preserve">Commercial aftermarket growth remaining at or near double digits.</w:t>
      </w:r>
    </w:p>
    <w:p>
      <w:pPr>
        <w:pStyle w:val="Compact"/>
        <w:numPr>
          <w:ilvl w:val="0"/>
          <w:numId w:val="1006"/>
        </w:numPr>
      </w:pPr>
      <w:r>
        <w:t xml:space="preserve">Strong bookings and book-to-bill across commercial aftermarket, OEM, and defense.</w:t>
      </w:r>
    </w:p>
    <w:p>
      <w:pPr>
        <w:pStyle w:val="Compact"/>
        <w:numPr>
          <w:ilvl w:val="0"/>
          <w:numId w:val="1006"/>
        </w:numPr>
      </w:pPr>
      <w:r>
        <w:t xml:space="preserve">Commercial OEM growth supported by continued production-rate progress.</w:t>
      </w:r>
    </w:p>
    <w:p>
      <w:pPr>
        <w:pStyle w:val="Compact"/>
        <w:numPr>
          <w:ilvl w:val="0"/>
          <w:numId w:val="1006"/>
        </w:numPr>
      </w:pPr>
      <w:r>
        <w:t xml:space="preserve">EBITDA margin at or above the ~52.3% full-year guide despite the acquisition mix.</w:t>
      </w:r>
    </w:p>
    <w:p>
      <w:pPr>
        <w:pStyle w:val="Compact"/>
        <w:numPr>
          <w:ilvl w:val="0"/>
          <w:numId w:val="1006"/>
        </w:numPr>
      </w:pPr>
      <w:r>
        <w:t xml:space="preserve">Full-year guidance maintained or raised.</w:t>
      </w:r>
    </w:p>
    <w:p>
      <w:pPr>
        <w:pStyle w:val="Compact"/>
        <w:numPr>
          <w:ilvl w:val="0"/>
          <w:numId w:val="1006"/>
        </w:numPr>
      </w:pPr>
      <w:r>
        <w:t xml:space="preserve">Constructive comments on Jet Parts, Victor Sierra, and the pending Stellant transaction.</w:t>
      </w:r>
    </w:p>
    <w:p>
      <w:pPr>
        <w:pStyle w:val="Compact"/>
        <w:numPr>
          <w:ilvl w:val="0"/>
          <w:numId w:val="1006"/>
        </w:numPr>
      </w:pPr>
      <w:r>
        <w:t xml:space="preserve">Continued confidence in free cash flow and capital-allocation capacity.</w:t>
      </w:r>
    </w:p>
    <w:bookmarkEnd w:id="19"/>
    <w:bookmarkStart w:id="20" w:name="bear-case"/>
    <w:p>
      <w:pPr>
        <w:pStyle w:val="Heading2"/>
      </w:pPr>
      <w:r>
        <w:t xml:space="preserve">Bear case</w:t>
      </w:r>
    </w:p>
    <w:p>
      <w:pPr>
        <w:pStyle w:val="FirstParagraph"/>
      </w:pPr>
      <w:r>
        <w:t xml:space="preserve">The report could disappoint if it shows:</w:t>
      </w:r>
    </w:p>
    <w:p>
      <w:pPr>
        <w:pStyle w:val="Compact"/>
        <w:numPr>
          <w:ilvl w:val="0"/>
          <w:numId w:val="1007"/>
        </w:numPr>
      </w:pPr>
      <w:r>
        <w:t xml:space="preserve">Commercial-aftermarket orders weakening, particularly in discretionary categories or distributor channels.</w:t>
      </w:r>
    </w:p>
    <w:p>
      <w:pPr>
        <w:pStyle w:val="Compact"/>
        <w:numPr>
          <w:ilvl w:val="0"/>
          <w:numId w:val="1007"/>
        </w:numPr>
      </w:pPr>
      <w:r>
        <w:t xml:space="preserve">A more direct impact from flight disruptions, fuel costs, or airline economics than management anticipated.</w:t>
      </w:r>
    </w:p>
    <w:p>
      <w:pPr>
        <w:pStyle w:val="Compact"/>
        <w:numPr>
          <w:ilvl w:val="0"/>
          <w:numId w:val="1007"/>
        </w:numPr>
      </w:pPr>
      <w:r>
        <w:t xml:space="preserve">Margin pressure beyond expected acquisition dilution.</w:t>
      </w:r>
    </w:p>
    <w:p>
      <w:pPr>
        <w:pStyle w:val="Compact"/>
        <w:numPr>
          <w:ilvl w:val="0"/>
          <w:numId w:val="1007"/>
        </w:numPr>
      </w:pPr>
      <w:r>
        <w:t xml:space="preserve">A guidance reduction or a more cautious second-half outlook.</w:t>
      </w:r>
    </w:p>
    <w:p>
      <w:pPr>
        <w:pStyle w:val="Compact"/>
        <w:numPr>
          <w:ilvl w:val="0"/>
          <w:numId w:val="1007"/>
        </w:numPr>
      </w:pPr>
      <w:r>
        <w:t xml:space="preserve">Rising interest expense that overwhelms operating-profit growth at the GAAP earnings level.</w:t>
      </w:r>
    </w:p>
    <w:p>
      <w:pPr>
        <w:pStyle w:val="Compact"/>
        <w:numPr>
          <w:ilvl w:val="0"/>
          <w:numId w:val="1007"/>
        </w:numPr>
      </w:pPr>
      <w:r>
        <w:t xml:space="preserve">Integration friction or a more constrained approach to buybacks/M&amp;A because of leverage.</w:t>
      </w:r>
    </w:p>
    <w:bookmarkEnd w:id="20"/>
    <w:bookmarkStart w:id="21" w:name="bottom-line"/>
    <w:p>
      <w:pPr>
        <w:pStyle w:val="Heading2"/>
      </w:pPr>
      <w:r>
        <w:t xml:space="preserve">Bottom line</w:t>
      </w:r>
    </w:p>
    <w:p>
      <w:pPr>
        <w:pStyle w:val="FirstParagraph"/>
      </w:pPr>
      <w:r>
        <w:t xml:space="preserve">TDG is heading into 3Q26 with strong operating momentum and a well-established playbook: proprietary aerospace content, aftermarket exposure, aggressive operational discipline, disciplined M&amp;A, and shareholder-oriented capital allocation. The setup is favorable—but expectations are elevated after the fiscal 2Q beat and sizable guidance increase.</w:t>
      </w:r>
    </w:p>
    <w:p>
      <w:pPr>
        <w:pStyle w:val="BodyText"/>
      </w:pPr>
      <w:r>
        <w:t xml:space="preserve">For this report, the most consequential data points are</w:t>
      </w:r>
      <w:r>
        <w:t xml:space="preserve"> </w:t>
      </w:r>
      <w:r>
        <w:rPr>
          <w:b/>
          <w:bCs/>
        </w:rPr>
        <w:t xml:space="preserve">commercial-aftermarket growth and bookings, EBITDA-margin performance, FY26 guidance durability, and updates on the acquisition pipeline</w:t>
      </w:r>
      <w:r>
        <w:t xml:space="preserve">. A clean quarter that validates those items would reinforce the view that TDG can compound earnings and cash flow even as it digests a larger-than-usual acquisition slate.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2026-08-04T01:13:59Z</dcterms:created>
  <dcterms:modified xsi:type="dcterms:W3CDTF">2026-08-04T01:13:59Z</dcterms:modified>
</cp:coreProperties>
</file>

<file path=docProps/custom.xml><?xml version="1.0" encoding="utf-8"?>
<Properties xmlns="http://schemas.openxmlformats.org/officeDocument/2006/custom-properties" xmlns:vt="http://schemas.openxmlformats.org/officeDocument/2006/docPropsVTypes"/>
</file>