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TransDigm Group (TDG) —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TransDigm Group Incorporated</w:t>
            </w:r>
          </w:p>
        </w:tc>
      </w:tr>
      <w:tr>
        <w:tc>
          <w:tcPr>
            <w:tcW w:type="dxa" w:w="4320"/>
          </w:tcPr>
          <w:p>
            <w:r>
              <w:rPr>
                <w:rFonts w:ascii="Calibri" w:hAnsi="Calibri"/>
                <w:b/>
                <w:sz w:val="22"/>
              </w:rPr>
              <w:t>Ticker</w:t>
            </w:r>
          </w:p>
        </w:tc>
        <w:tc>
          <w:tcPr>
            <w:tcW w:type="dxa" w:w="4320"/>
          </w:tcPr>
          <w:p>
            <w:r>
              <w:rPr>
                <w:rFonts w:ascii="Calibri" w:hAnsi="Calibri"/>
                <w:sz w:val="22"/>
              </w:rPr>
              <w:t>TDG (NYSE)</w:t>
            </w:r>
          </w:p>
        </w:tc>
      </w:tr>
      <w:tr>
        <w:tc>
          <w:tcPr>
            <w:tcW w:type="dxa" w:w="4320"/>
          </w:tcPr>
          <w:p>
            <w:r>
              <w:rPr>
                <w:rFonts w:ascii="Calibri" w:hAnsi="Calibri"/>
                <w:b/>
                <w:sz w:val="22"/>
              </w:rPr>
              <w:t>Upcoming Earnings</w:t>
            </w:r>
          </w:p>
        </w:tc>
        <w:tc>
          <w:tcPr>
            <w:tcW w:type="dxa" w:w="4320"/>
          </w:tcPr>
          <w:p>
            <w:r>
              <w:rPr>
                <w:rFonts w:ascii="Calibri" w:hAnsi="Calibri"/>
                <w:sz w:val="22"/>
              </w:rPr>
              <w:t>Q3 FY2026 — August 4, 2026</w:t>
            </w:r>
          </w:p>
        </w:tc>
      </w:tr>
      <w:tr>
        <w:tc>
          <w:tcPr>
            <w:tcW w:type="dxa" w:w="4320"/>
          </w:tcPr>
          <w:p>
            <w:r>
              <w:rPr>
                <w:rFonts w:ascii="Calibri" w:hAnsi="Calibri"/>
                <w:b/>
                <w:sz w:val="22"/>
              </w:rPr>
              <w:t>Last Reported</w:t>
            </w:r>
          </w:p>
        </w:tc>
        <w:tc>
          <w:tcPr>
            <w:tcW w:type="dxa" w:w="4320"/>
          </w:tcPr>
          <w:p>
            <w:r>
              <w:rPr>
                <w:rFonts w:ascii="Calibri" w:hAnsi="Calibri"/>
                <w:sz w:val="22"/>
              </w:rPr>
              <w:t>Q2 FY2026 — May 5, 2026</w:t>
            </w:r>
          </w:p>
        </w:tc>
      </w:tr>
      <w:tr>
        <w:tc>
          <w:tcPr>
            <w:tcW w:type="dxa" w:w="4320"/>
          </w:tcPr>
          <w:p>
            <w:r>
              <w:rPr>
                <w:rFonts w:ascii="Calibri" w:hAnsi="Calibri"/>
                <w:b/>
                <w:sz w:val="22"/>
              </w:rPr>
              <w:t>Prepared</w:t>
            </w:r>
          </w:p>
        </w:tc>
        <w:tc>
          <w:tcPr>
            <w:tcW w:type="dxa" w:w="4320"/>
          </w:tcPr>
          <w:p>
            <w:r>
              <w:rPr>
                <w:rFonts w:ascii="Calibri" w:hAnsi="Calibri"/>
                <w:sz w:val="22"/>
              </w:rPr>
              <w:t>August 3, 2026</w:t>
            </w:r>
          </w:p>
        </w:tc>
      </w:tr>
      <w:tr>
        <w:tc>
          <w:tcPr>
            <w:tcW w:type="dxa" w:w="4320"/>
          </w:tcPr>
          <w:p>
            <w:r>
              <w:rPr>
                <w:rFonts w:ascii="Calibri" w:hAnsi="Calibri"/>
                <w:b/>
                <w:sz w:val="22"/>
              </w:rPr>
              <w:t>Sector ETF Benchmark</w:t>
            </w:r>
          </w:p>
        </w:tc>
        <w:tc>
          <w:tcPr>
            <w:tcW w:type="dxa" w:w="4320"/>
          </w:tcPr>
          <w:p>
            <w:r>
              <w:rPr>
                <w:rFonts w:ascii="Calibri" w:hAnsi="Calibri"/>
                <w:sz w:val="22"/>
              </w:rPr>
              <w:t>ITA (iShares U.S. Aerospace &amp; Defense ETF)</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The setup into Q3 FY2026 is constructive — consensus sits below the raised full-year guidance run-rate, and the biggest swing factor is whether commercial aftermarket momentum sustained through the Middle East conflict disruption.</w:t>
      </w:r>
    </w:p>
    <w:p>
      <w:r>
        <w:rPr>
          <w:rFonts w:ascii="Calibri" w:hAnsi="Calibri"/>
          <w:b/>
          <w:color w:val="525866"/>
          <w:sz w:val="22"/>
        </w:rPr>
        <w:t xml:space="preserve">Bar: </w:t>
      </w:r>
      <w:r>
        <w:rPr>
          <w:rFonts w:ascii="Calibri" w:hAnsi="Calibri"/>
          <w:color w:val="525866"/>
          <w:sz w:val="22"/>
        </w:rPr>
        <w:t>Consensus for Q3 FY2026 net sales of ~$2.67B and EBITDA As Defined of ~$1.40B implies roughly 19% and 15% YoY growth, respectively — a meaningful step-up from Q2 actuals but consistent with the raised full-year guidance midpoint of $10.36B in revenue and $5.42B in EBITDA. The bar is achievable but not low; management's own guidance implies Q3 must be the strongest quarter of the year on an absolute basis.</w:t>
      </w:r>
    </w:p>
    <w:p>
      <w:r>
        <w:rPr>
          <w:rFonts w:ascii="Calibri" w:hAnsi="Calibri"/>
          <w:b/>
          <w:color w:val="525866"/>
          <w:sz w:val="22"/>
        </w:rPr>
        <w:t xml:space="preserve">Guidance/Tone: </w:t>
      </w:r>
      <w:r>
        <w:rPr>
          <w:rFonts w:ascii="Calibri" w:hAnsi="Calibri"/>
          <w:color w:val="525866"/>
          <w:sz w:val="22"/>
        </w:rPr>
        <w:t>Management raised full-year guidance materially at Q2 (revenue midpoint +$420M, EBITDA +$210M, EPS to $39.52, FCF to ~$2.5B) and struck a confident tone on base business outperformance. The Stellant withdrawal (July 13) removes a regulatory overhang and frees capital, while the Prince &amp; Izant acquisition announcement (July 27, $1.07B) signals continued M&amp;A discipline. Tone has shifted from cautious on Middle East to measured confidence — management noted historical disruptions of this type are "sharp and self-correcting."</w:t>
      </w:r>
    </w:p>
    <w:p>
      <w:r>
        <w:rPr>
          <w:rFonts w:ascii="Calibri" w:hAnsi="Calibri"/>
          <w:b/>
          <w:color w:val="525866"/>
          <w:sz w:val="22"/>
        </w:rPr>
        <w:t xml:space="preserve">Estimate Trajectory: </w:t>
      </w:r>
      <w:r>
        <w:rPr>
          <w:rFonts w:ascii="Calibri" w:hAnsi="Calibri"/>
          <w:color w:val="525866"/>
          <w:sz w:val="22"/>
        </w:rPr>
        <w:t>Post-Q2 earnings, consensus estimates for Q3 FY2026 net sales moved from ~$2.66B to ~$2.67B and EBITDA As Defined from ~$1.39B to ~$1.40B — modest upward drift tracking the guidance raise. Full-year FY2026 EPS consensus of ~$40.00 sits just above the guidance midpoint of $39.52, suggesting the street is giving slight credit for further outperformance. Revisions are constructive but not aggressive, leaving room for a positive surprise.</w:t>
      </w:r>
    </w:p>
    <w:p>
      <w:r>
        <w:rPr>
          <w:rFonts w:ascii="Calibri" w:hAnsi="Calibri"/>
          <w:b/>
          <w:color w:val="525866"/>
          <w:sz w:val="22"/>
        </w:rPr>
        <w:t xml:space="preserve">Stock Setup: </w:t>
      </w:r>
      <w:r>
        <w:rPr>
          <w:rFonts w:ascii="Calibri" w:hAnsi="Calibri"/>
          <w:color w:val="525866"/>
          <w:sz w:val="22"/>
        </w:rPr>
        <w:t>TDG is up ~+8% since the Q2 print (indexed basis) vs. ITA +14% and SPY +5%, meaning the stock has lagged the sector ETF despite strong fundamentals — partly reflecting the Stellant withdrawal overhang and the mid-July selloff. At ~$1,285, TDG trades at roughly 23x forward EBITDA, near the high end of its historical range but below some aftermarket peers. The stock has not fully priced in a beat, creating asymmetric upside if commercial aftermarket growth holds.</w:t>
      </w:r>
    </w:p>
    <w:p>
      <w:r>
        <w:rPr>
          <w:rFonts w:ascii="Calibri" w:hAnsi="Calibri"/>
          <w:b/>
          <w:color w:val="525866"/>
          <w:sz w:val="22"/>
        </w:rPr>
        <w:t xml:space="preserve">Wildcard: </w:t>
      </w:r>
      <w:r>
        <w:rPr>
          <w:rFonts w:ascii="Calibri" w:hAnsi="Calibri"/>
          <w:color w:val="525866"/>
          <w:sz w:val="22"/>
        </w:rPr>
        <w:t xml:space="preserve">The single biggest swing factor is </w:t>
      </w:r>
      <w:r>
        <w:rPr>
          <w:rFonts w:ascii="Calibri" w:hAnsi="Calibri"/>
          <w:b/>
          <w:color w:val="525866"/>
          <w:sz w:val="22"/>
        </w:rPr>
        <w:t>commercial aftermarket trajectory through the Middle East conflict</w:t>
      </w:r>
      <w:r>
        <w:rPr>
          <w:rFonts w:ascii="Calibri" w:hAnsi="Calibri"/>
          <w:color w:val="525866"/>
          <w:sz w:val="22"/>
        </w:rPr>
        <w:t>. Q2 CAM bookings were an all-time high, but management flagged RPM deceleration in March/April and slightly negative Middle East takeoff/landing cycles. If Q3 CAM revenue comes in at the high end of the high-single-digit to low-double-digit guidance range (or above), the stock should re-rate higher. Conversely, any commentary suggesting the conflict is weighing on Q4 CAM ordering would be the key downside risk.</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 xml:space="preserve">Consensus for Q3 FY2026 reflects a high but achievable bar — double-digit growth across all three channels is baked in. </w:t>
      </w:r>
      <w:r>
        <w:rPr>
          <w:rFonts w:ascii="Calibri" w:hAnsi="Calibri"/>
          <w:b/>
          <w:color w:val="525866"/>
          <w:sz w:val="22"/>
        </w:rPr>
        <w:t>Commercial Aftermarket revenue is the bigger swing factor</w:t>
      </w:r>
      <w:r>
        <w:rPr>
          <w:rFonts w:ascii="Calibri" w:hAnsi="Calibri"/>
          <w:color w:val="525866"/>
          <w:sz w:val="22"/>
        </w:rPr>
        <w:t>; defense has been consistently beating while CAM carries the most uncertainty given Middle East dynamics.</w:t>
      </w:r>
    </w:p>
    <w:p>
      <w:pPr>
        <w:pStyle w:val="Heading2"/>
      </w:pPr>
      <w:r>
        <w:rPr>
          <w:rFonts w:ascii="Calibri" w:hAnsi="Calibri"/>
          <w:b/>
          <w:color w:val="3B4259"/>
          <w:sz w:val="28"/>
        </w:rPr>
        <w:t>Table 1 — Current Quarter Snapshot (Q3 FY2026 Consensus vs. Prior Periods)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Q2 FY2026 Actual</w:t>
            </w:r>
          </w:p>
        </w:tc>
        <w:tc>
          <w:tcPr>
            <w:tcW w:type="dxa" w:w="1234"/>
            <w:shd w:val="clear" w:color="auto" w:fill="3B4259"/>
          </w:tcPr>
          <w:p>
            <w:r>
              <w:rPr>
                <w:rFonts w:ascii="Calibri" w:hAnsi="Calibri"/>
                <w:b/>
                <w:color w:val="FFFFFF"/>
                <w:sz w:val="22"/>
              </w:rPr>
              <w:t>Q3 FY2025 Actual</w:t>
            </w:r>
          </w:p>
        </w:tc>
        <w:tc>
          <w:tcPr>
            <w:tcW w:type="dxa" w:w="1234"/>
            <w:shd w:val="clear" w:color="auto" w:fill="3B4259"/>
          </w:tcPr>
          <w:p>
            <w:r>
              <w:rPr>
                <w:rFonts w:ascii="Calibri" w:hAnsi="Calibri"/>
                <w:b/>
                <w:color w:val="FFFFFF"/>
                <w:sz w:val="22"/>
              </w:rPr>
              <w:t>Q3 FY2026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FY2026 Guidance (Midpoint)</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Net Sales ($M)</w:t>
            </w:r>
          </w:p>
        </w:tc>
        <w:tc>
          <w:tcPr>
            <w:tcW w:type="dxa" w:w="1234"/>
          </w:tcPr>
          <w:p>
            <w:r>
              <w:rPr>
                <w:rFonts w:ascii="Calibri" w:hAnsi="Calibri"/>
                <w:sz w:val="22"/>
              </w:rPr>
              <w:t>$2,544</w:t>
            </w:r>
          </w:p>
        </w:tc>
        <w:tc>
          <w:tcPr>
            <w:tcW w:type="dxa" w:w="1234"/>
          </w:tcPr>
          <w:p>
            <w:r>
              <w:rPr>
                <w:rFonts w:ascii="Calibri" w:hAnsi="Calibri"/>
                <w:sz w:val="22"/>
              </w:rPr>
              <w:t>$2,237</w:t>
            </w:r>
          </w:p>
        </w:tc>
        <w:tc>
          <w:tcPr>
            <w:tcW w:type="dxa" w:w="1234"/>
          </w:tcPr>
          <w:p>
            <w:r>
              <w:rPr>
                <w:rFonts w:ascii="Calibri" w:hAnsi="Calibri"/>
                <w:sz w:val="22"/>
              </w:rPr>
              <w:t>$2,675</w:t>
            </w:r>
          </w:p>
        </w:tc>
        <w:tc>
          <w:tcPr>
            <w:tcW w:type="dxa" w:w="1234"/>
          </w:tcPr>
          <w:p>
            <w:r>
              <w:rPr>
                <w:rFonts w:ascii="Calibri" w:hAnsi="Calibri"/>
                <w:b/>
                <w:color w:val="30A46C"/>
                <w:sz w:val="22"/>
              </w:rPr>
              <w:t>+19.6%</w:t>
            </w:r>
          </w:p>
        </w:tc>
        <w:tc>
          <w:tcPr>
            <w:tcW w:type="dxa" w:w="1234"/>
          </w:tcPr>
          <w:p>
            <w:r>
              <w:rPr>
                <w:rFonts w:ascii="Calibri" w:hAnsi="Calibri"/>
                <w:sz w:val="22"/>
              </w:rPr>
              <w:t>$10,360M (FY)</w:t>
            </w:r>
          </w:p>
        </w:tc>
        <w:tc>
          <w:tcPr>
            <w:tcW w:type="dxa" w:w="1234"/>
          </w:tcPr>
          <w:p>
            <w:r>
              <w:rPr>
                <w:rFonts w:ascii="Calibri" w:hAnsi="Calibri"/>
                <w:sz w:val="22"/>
              </w:rPr>
              <w:t>On track</w:t>
            </w:r>
          </w:p>
        </w:tc>
      </w:tr>
      <w:tr>
        <w:tc>
          <w:tcPr>
            <w:tcW w:type="dxa" w:w="1234"/>
          </w:tcPr>
          <w:p>
            <w:r>
              <w:rPr>
                <w:rFonts w:ascii="Calibri" w:hAnsi="Calibri"/>
                <w:sz w:val="22"/>
              </w:rPr>
              <w:t>Commercial Aftermarket Revenue ($M)</w:t>
            </w:r>
          </w:p>
        </w:tc>
        <w:tc>
          <w:tcPr>
            <w:tcW w:type="dxa" w:w="1234"/>
          </w:tcPr>
          <w:p>
            <w:r>
              <w:rPr>
                <w:rFonts w:ascii="Calibri" w:hAnsi="Calibri"/>
                <w:sz w:val="22"/>
              </w:rPr>
              <w:t>$839</w:t>
            </w:r>
          </w:p>
        </w:tc>
        <w:tc>
          <w:tcPr>
            <w:tcW w:type="dxa" w:w="1234"/>
          </w:tcPr>
          <w:p>
            <w:r>
              <w:rPr>
                <w:rFonts w:ascii="Calibri" w:hAnsi="Calibri"/>
                <w:sz w:val="22"/>
              </w:rPr>
              <w:t>$695</w:t>
            </w:r>
          </w:p>
        </w:tc>
        <w:tc>
          <w:tcPr>
            <w:tcW w:type="dxa" w:w="1234"/>
          </w:tcPr>
          <w:p>
            <w:r>
              <w:rPr>
                <w:rFonts w:ascii="Calibri" w:hAnsi="Calibri"/>
                <w:sz w:val="22"/>
              </w:rPr>
              <w:t>$837</w:t>
            </w:r>
          </w:p>
        </w:tc>
        <w:tc>
          <w:tcPr>
            <w:tcW w:type="dxa" w:w="1234"/>
          </w:tcPr>
          <w:p>
            <w:r>
              <w:rPr>
                <w:rFonts w:ascii="Calibri" w:hAnsi="Calibri"/>
                <w:b/>
                <w:color w:val="30A46C"/>
                <w:sz w:val="22"/>
              </w:rPr>
              <w:t>+20.4%</w:t>
            </w:r>
          </w:p>
        </w:tc>
        <w:tc>
          <w:tcPr>
            <w:tcW w:type="dxa" w:w="1234"/>
          </w:tcPr>
          <w:p>
            <w:r>
              <w:rPr>
                <w:rFonts w:ascii="Calibri" w:hAnsi="Calibri"/>
                <w:sz w:val="22"/>
              </w:rPr>
              <w:t>High-SD to Low-DD%</w:t>
            </w:r>
          </w:p>
        </w:tc>
        <w:tc>
          <w:tcPr>
            <w:tcW w:type="dxa" w:w="1234"/>
          </w:tcPr>
          <w:p>
            <w:r>
              <w:rPr>
                <w:rFonts w:ascii="Calibri" w:hAnsi="Calibri"/>
                <w:sz w:val="22"/>
              </w:rPr>
              <w:t>~+20% vs. prior yr</w:t>
            </w:r>
          </w:p>
        </w:tc>
      </w:tr>
      <w:tr>
        <w:tc>
          <w:tcPr>
            <w:tcW w:type="dxa" w:w="1234"/>
          </w:tcPr>
          <w:p>
            <w:r>
              <w:rPr>
                <w:rFonts w:ascii="Calibri" w:hAnsi="Calibri"/>
                <w:sz w:val="22"/>
              </w:rPr>
              <w:t>Commercial OEM Revenue ($M)</w:t>
            </w:r>
          </w:p>
        </w:tc>
        <w:tc>
          <w:tcPr>
            <w:tcW w:type="dxa" w:w="1234"/>
          </w:tcPr>
          <w:p>
            <w:r>
              <w:rPr>
                <w:rFonts w:ascii="Calibri" w:hAnsi="Calibri"/>
                <w:sz w:val="22"/>
              </w:rPr>
              <w:t>$603</w:t>
            </w:r>
          </w:p>
        </w:tc>
        <w:tc>
          <w:tcPr>
            <w:tcW w:type="dxa" w:w="1234"/>
          </w:tcPr>
          <w:p>
            <w:r>
              <w:rPr>
                <w:rFonts w:ascii="Calibri" w:hAnsi="Calibri"/>
                <w:sz w:val="22"/>
              </w:rPr>
              <w:t>$539</w:t>
            </w:r>
          </w:p>
        </w:tc>
        <w:tc>
          <w:tcPr>
            <w:tcW w:type="dxa" w:w="1234"/>
          </w:tcPr>
          <w:p>
            <w:r>
              <w:rPr>
                <w:rFonts w:ascii="Calibri" w:hAnsi="Calibri"/>
                <w:sz w:val="22"/>
              </w:rPr>
              <w:t>$639</w:t>
            </w:r>
          </w:p>
        </w:tc>
        <w:tc>
          <w:tcPr>
            <w:tcW w:type="dxa" w:w="1234"/>
          </w:tcPr>
          <w:p>
            <w:r>
              <w:rPr>
                <w:rFonts w:ascii="Calibri" w:hAnsi="Calibri"/>
                <w:b/>
                <w:color w:val="30A46C"/>
                <w:sz w:val="22"/>
              </w:rPr>
              <w:t>+18.6%</w:t>
            </w:r>
          </w:p>
        </w:tc>
        <w:tc>
          <w:tcPr>
            <w:tcW w:type="dxa" w:w="1234"/>
          </w:tcPr>
          <w:p>
            <w:r>
              <w:rPr>
                <w:rFonts w:ascii="Calibri" w:hAnsi="Calibri"/>
                <w:sz w:val="22"/>
              </w:rPr>
              <w:t>Low-DD to Mid-Teens%</w:t>
            </w:r>
          </w:p>
        </w:tc>
        <w:tc>
          <w:tcPr>
            <w:tcW w:type="dxa" w:w="1234"/>
          </w:tcPr>
          <w:p>
            <w:r>
              <w:rPr>
                <w:rFonts w:ascii="Calibri" w:hAnsi="Calibri"/>
                <w:sz w:val="22"/>
              </w:rPr>
              <w:t>~+19% vs. prior yr</w:t>
            </w:r>
          </w:p>
        </w:tc>
      </w:tr>
      <w:tr>
        <w:tc>
          <w:tcPr>
            <w:tcW w:type="dxa" w:w="1234"/>
          </w:tcPr>
          <w:p>
            <w:r>
              <w:rPr>
                <w:rFonts w:ascii="Calibri" w:hAnsi="Calibri"/>
                <w:sz w:val="22"/>
              </w:rPr>
              <w:t>Defense Revenue ($M)</w:t>
            </w:r>
          </w:p>
        </w:tc>
        <w:tc>
          <w:tcPr>
            <w:tcW w:type="dxa" w:w="1234"/>
          </w:tcPr>
          <w:p>
            <w:r>
              <w:rPr>
                <w:rFonts w:ascii="Calibri" w:hAnsi="Calibri"/>
                <w:sz w:val="22"/>
              </w:rPr>
              <w:t>$1,057</w:t>
            </w:r>
          </w:p>
        </w:tc>
        <w:tc>
          <w:tcPr>
            <w:tcW w:type="dxa" w:w="1234"/>
          </w:tcPr>
          <w:p>
            <w:r>
              <w:rPr>
                <w:rFonts w:ascii="Calibri" w:hAnsi="Calibri"/>
                <w:sz w:val="22"/>
              </w:rPr>
              <w:t>$963</w:t>
            </w:r>
          </w:p>
        </w:tc>
        <w:tc>
          <w:tcPr>
            <w:tcW w:type="dxa" w:w="1234"/>
          </w:tcPr>
          <w:p>
            <w:r>
              <w:rPr>
                <w:rFonts w:ascii="Calibri" w:hAnsi="Calibri"/>
                <w:sz w:val="22"/>
              </w:rPr>
              <w:t>$1,081</w:t>
            </w:r>
          </w:p>
        </w:tc>
        <w:tc>
          <w:tcPr>
            <w:tcW w:type="dxa" w:w="1234"/>
          </w:tcPr>
          <w:p>
            <w:r>
              <w:rPr>
                <w:rFonts w:ascii="Calibri" w:hAnsi="Calibri"/>
                <w:b/>
                <w:color w:val="30A46C"/>
                <w:sz w:val="22"/>
              </w:rPr>
              <w:t>+12.3%</w:t>
            </w:r>
          </w:p>
        </w:tc>
        <w:tc>
          <w:tcPr>
            <w:tcW w:type="dxa" w:w="1234"/>
          </w:tcPr>
          <w:p>
            <w:r>
              <w:rPr>
                <w:rFonts w:ascii="Calibri" w:hAnsi="Calibri"/>
                <w:sz w:val="22"/>
              </w:rPr>
              <w:t>High-SD%</w:t>
            </w:r>
          </w:p>
        </w:tc>
        <w:tc>
          <w:tcPr>
            <w:tcW w:type="dxa" w:w="1234"/>
          </w:tcPr>
          <w:p>
            <w:r>
              <w:rPr>
                <w:rFonts w:ascii="Calibri" w:hAnsi="Calibri"/>
                <w:sz w:val="22"/>
              </w:rPr>
              <w:t>~+12% vs. prior yr</w:t>
            </w:r>
          </w:p>
        </w:tc>
      </w:tr>
      <w:tr>
        <w:tc>
          <w:tcPr>
            <w:tcW w:type="dxa" w:w="1234"/>
          </w:tcPr>
          <w:p>
            <w:r>
              <w:rPr>
                <w:rFonts w:ascii="Calibri" w:hAnsi="Calibri"/>
                <w:sz w:val="22"/>
              </w:rPr>
              <w:t>EBITDA As Defined ($M)</w:t>
            </w:r>
          </w:p>
        </w:tc>
        <w:tc>
          <w:tcPr>
            <w:tcW w:type="dxa" w:w="1234"/>
          </w:tcPr>
          <w:p>
            <w:r>
              <w:rPr>
                <w:rFonts w:ascii="Calibri" w:hAnsi="Calibri"/>
                <w:sz w:val="22"/>
              </w:rPr>
              <w:t>$1,337</w:t>
            </w:r>
          </w:p>
        </w:tc>
        <w:tc>
          <w:tcPr>
            <w:tcW w:type="dxa" w:w="1234"/>
          </w:tcPr>
          <w:p>
            <w:r>
              <w:rPr>
                <w:rFonts w:ascii="Calibri" w:hAnsi="Calibri"/>
                <w:sz w:val="22"/>
              </w:rPr>
              <w:t>$1,217</w:t>
            </w:r>
          </w:p>
        </w:tc>
        <w:tc>
          <w:tcPr>
            <w:tcW w:type="dxa" w:w="1234"/>
          </w:tcPr>
          <w:p>
            <w:r>
              <w:rPr>
                <w:rFonts w:ascii="Calibri" w:hAnsi="Calibri"/>
                <w:sz w:val="22"/>
              </w:rPr>
              <w:t>$1,400</w:t>
            </w:r>
          </w:p>
        </w:tc>
        <w:tc>
          <w:tcPr>
            <w:tcW w:type="dxa" w:w="1234"/>
          </w:tcPr>
          <w:p>
            <w:r>
              <w:rPr>
                <w:rFonts w:ascii="Calibri" w:hAnsi="Calibri"/>
                <w:b/>
                <w:color w:val="30A46C"/>
                <w:sz w:val="22"/>
              </w:rPr>
              <w:t>+15.0%</w:t>
            </w:r>
          </w:p>
        </w:tc>
        <w:tc>
          <w:tcPr>
            <w:tcW w:type="dxa" w:w="1234"/>
          </w:tcPr>
          <w:p>
            <w:r>
              <w:rPr>
                <w:rFonts w:ascii="Calibri" w:hAnsi="Calibri"/>
                <w:sz w:val="22"/>
              </w:rPr>
              <w:t>$5,420M (FY)</w:t>
            </w:r>
          </w:p>
        </w:tc>
        <w:tc>
          <w:tcPr>
            <w:tcW w:type="dxa" w:w="1234"/>
          </w:tcPr>
          <w:p>
            <w:r>
              <w:rPr>
                <w:rFonts w:ascii="Calibri" w:hAnsi="Calibri"/>
                <w:sz w:val="22"/>
              </w:rPr>
              <w:t>On track</w:t>
            </w:r>
          </w:p>
        </w:tc>
      </w:tr>
      <w:tr>
        <w:tc>
          <w:tcPr>
            <w:tcW w:type="dxa" w:w="1234"/>
          </w:tcPr>
          <w:p>
            <w:r>
              <w:rPr>
                <w:rFonts w:ascii="Calibri" w:hAnsi="Calibri"/>
                <w:sz w:val="22"/>
              </w:rPr>
              <w:t>EBITDA As Defined Margin (%)</w:t>
            </w:r>
          </w:p>
        </w:tc>
        <w:tc>
          <w:tcPr>
            <w:tcW w:type="dxa" w:w="1234"/>
          </w:tcPr>
          <w:p>
            <w:r>
              <w:rPr>
                <w:rFonts w:ascii="Calibri" w:hAnsi="Calibri"/>
                <w:sz w:val="22"/>
              </w:rPr>
              <w:t>52.6%</w:t>
            </w:r>
          </w:p>
        </w:tc>
        <w:tc>
          <w:tcPr>
            <w:tcW w:type="dxa" w:w="1234"/>
          </w:tcPr>
          <w:p>
            <w:r>
              <w:rPr>
                <w:rFonts w:ascii="Calibri" w:hAnsi="Calibri"/>
                <w:sz w:val="22"/>
              </w:rPr>
              <w:t>54.4%</w:t>
            </w:r>
          </w:p>
        </w:tc>
        <w:tc>
          <w:tcPr>
            <w:tcW w:type="dxa" w:w="1234"/>
          </w:tcPr>
          <w:p>
            <w:r>
              <w:rPr>
                <w:rFonts w:ascii="Calibri" w:hAnsi="Calibri"/>
                <w:sz w:val="22"/>
              </w:rPr>
              <w:t>52.3%</w:t>
            </w:r>
          </w:p>
        </w:tc>
        <w:tc>
          <w:tcPr>
            <w:tcW w:type="dxa" w:w="1234"/>
          </w:tcPr>
          <w:p>
            <w:r>
              <w:rPr>
                <w:rFonts w:ascii="Calibri" w:hAnsi="Calibri"/>
                <w:b/>
                <w:color w:val="E5484D"/>
                <w:sz w:val="22"/>
              </w:rPr>
              <w:t>-210 bps YoY</w:t>
            </w:r>
          </w:p>
        </w:tc>
        <w:tc>
          <w:tcPr>
            <w:tcW w:type="dxa" w:w="1234"/>
          </w:tcPr>
          <w:p>
            <w:r>
              <w:rPr>
                <w:rFonts w:ascii="Calibri" w:hAnsi="Calibri"/>
                <w:sz w:val="22"/>
              </w:rPr>
              <w:t>~52.3% (FY)</w:t>
            </w:r>
          </w:p>
        </w:tc>
        <w:tc>
          <w:tcPr>
            <w:tcW w:type="dxa" w:w="1234"/>
          </w:tcPr>
          <w:p>
            <w:r>
              <w:rPr>
                <w:rFonts w:ascii="Calibri" w:hAnsi="Calibri"/>
                <w:sz w:val="22"/>
              </w:rPr>
              <w:t>In line</w:t>
            </w:r>
          </w:p>
        </w:tc>
      </w:tr>
      <w:tr>
        <w:tc>
          <w:tcPr>
            <w:tcW w:type="dxa" w:w="1234"/>
          </w:tcPr>
          <w:p>
            <w:r>
              <w:rPr>
                <w:rFonts w:ascii="Calibri" w:hAnsi="Calibri"/>
                <w:sz w:val="22"/>
              </w:rPr>
              <w:t>Adj. EPS — Diluted ($)</w:t>
            </w:r>
          </w:p>
        </w:tc>
        <w:tc>
          <w:tcPr>
            <w:tcW w:type="dxa" w:w="1234"/>
          </w:tcPr>
          <w:p>
            <w:r>
              <w:rPr>
                <w:rFonts w:ascii="Calibri" w:hAnsi="Calibri"/>
                <w:sz w:val="22"/>
              </w:rPr>
              <w:t>$9.85</w:t>
            </w:r>
          </w:p>
        </w:tc>
        <w:tc>
          <w:tcPr>
            <w:tcW w:type="dxa" w:w="1234"/>
          </w:tcPr>
          <w:p>
            <w:r>
              <w:rPr>
                <w:rFonts w:ascii="Calibri" w:hAnsi="Calibri"/>
                <w:sz w:val="22"/>
              </w:rPr>
              <w:t>$9.60</w:t>
            </w:r>
          </w:p>
        </w:tc>
        <w:tc>
          <w:tcPr>
            <w:tcW w:type="dxa" w:w="1234"/>
          </w:tcPr>
          <w:p>
            <w:r>
              <w:rPr>
                <w:rFonts w:ascii="Calibri" w:hAnsi="Calibri"/>
                <w:sz w:val="22"/>
              </w:rPr>
              <w:t>$10.27</w:t>
            </w:r>
          </w:p>
        </w:tc>
        <w:tc>
          <w:tcPr>
            <w:tcW w:type="dxa" w:w="1234"/>
          </w:tcPr>
          <w:p>
            <w:r>
              <w:rPr>
                <w:rFonts w:ascii="Calibri" w:hAnsi="Calibri"/>
                <w:b/>
                <w:color w:val="30A46C"/>
                <w:sz w:val="22"/>
              </w:rPr>
              <w:t>+7.0%</w:t>
            </w:r>
          </w:p>
        </w:tc>
        <w:tc>
          <w:tcPr>
            <w:tcW w:type="dxa" w:w="1234"/>
          </w:tcPr>
          <w:p>
            <w:r>
              <w:rPr>
                <w:rFonts w:ascii="Calibri" w:hAnsi="Calibri"/>
                <w:sz w:val="22"/>
              </w:rPr>
              <w:t>$39.52 (FY midpoint)</w:t>
            </w:r>
          </w:p>
        </w:tc>
        <w:tc>
          <w:tcPr>
            <w:tcW w:type="dxa" w:w="1234"/>
          </w:tcPr>
          <w:p>
            <w:r>
              <w:rPr>
                <w:rFonts w:ascii="Calibri" w:hAnsi="Calibri"/>
                <w:sz w:val="22"/>
              </w:rPr>
              <w:t>~+2% above midpoint</w:t>
            </w:r>
          </w:p>
        </w:tc>
      </w:tr>
      <w:tr>
        <w:tc>
          <w:tcPr>
            <w:tcW w:type="dxa" w:w="1234"/>
          </w:tcPr>
          <w:p>
            <w:r>
              <w:rPr>
                <w:rFonts w:ascii="Calibri" w:hAnsi="Calibri"/>
                <w:sz w:val="22"/>
              </w:rPr>
              <w:t>Free Cash Flow ($M)</w:t>
            </w:r>
          </w:p>
        </w:tc>
        <w:tc>
          <w:tcPr>
            <w:tcW w:type="dxa" w:w="1234"/>
          </w:tcPr>
          <w:p>
            <w:r>
              <w:rPr>
                <w:rFonts w:ascii="Calibri" w:hAnsi="Calibri"/>
                <w:sz w:val="22"/>
              </w:rPr>
              <w:t>$64</w:t>
            </w:r>
          </w:p>
        </w:tc>
        <w:tc>
          <w:tcPr>
            <w:tcW w:type="dxa" w:w="1234"/>
          </w:tcPr>
          <w:p>
            <w:r>
              <w:rPr>
                <w:rFonts w:ascii="Calibri" w:hAnsi="Calibri"/>
                <w:sz w:val="22"/>
              </w:rPr>
              <w:t>$573</w:t>
            </w:r>
          </w:p>
        </w:tc>
        <w:tc>
          <w:tcPr>
            <w:tcW w:type="dxa" w:w="1234"/>
          </w:tcPr>
          <w:p>
            <w:r>
              <w:rPr>
                <w:rFonts w:ascii="Calibri" w:hAnsi="Calibri"/>
                <w:sz w:val="22"/>
              </w:rPr>
              <w:t>$636</w:t>
            </w:r>
          </w:p>
        </w:tc>
        <w:tc>
          <w:tcPr>
            <w:tcW w:type="dxa" w:w="1234"/>
          </w:tcPr>
          <w:p>
            <w:r>
              <w:rPr>
                <w:rFonts w:ascii="Calibri" w:hAnsi="Calibri"/>
                <w:sz w:val="22"/>
              </w:rPr>
              <w:t>+10.9%</w:t>
            </w:r>
          </w:p>
        </w:tc>
        <w:tc>
          <w:tcPr>
            <w:tcW w:type="dxa" w:w="1234"/>
          </w:tcPr>
          <w:p>
            <w:r>
              <w:rPr>
                <w:rFonts w:ascii="Calibri" w:hAnsi="Calibri"/>
                <w:sz w:val="22"/>
              </w:rPr>
              <w:t>~$2,500M (FY)</w:t>
            </w:r>
          </w:p>
        </w:tc>
        <w:tc>
          <w:tcPr>
            <w:tcW w:type="dxa" w:w="1234"/>
          </w:tcPr>
          <w:p>
            <w:r>
              <w:rPr>
                <w:rFonts w:ascii="Calibri" w:hAnsi="Calibri"/>
                <w:sz w:val="22"/>
              </w:rPr>
              <w:t>On track</w:t>
            </w:r>
          </w:p>
        </w:tc>
      </w:tr>
    </w:tbl>
    <w:p>
      <w:r>
        <w:rPr>
          <w:rFonts w:ascii="Calibri" w:hAnsi="Calibri"/>
          <w:i/>
          <w:color w:val="525866"/>
          <w:sz w:val="22"/>
        </w:rPr>
        <w:t>Source: Visible Alpha Consensus and Actuals Data. Q3 FY2026 consensus as of August 3, 2026. FY2026 guidance from Q2 FY2026 earnings call (May 5, 2026). EBITDA As Defined = EBITDA – Operating (TransDigm’s non-GAAP measure). Margin YoY decline reflects acquisition dilution (~200 bps) from Jet Parts Engineering, Victor Sierra, and other recently closed deals; base business margins continue to expand.</w:t>
      </w:r>
    </w:p>
    <w:p>
      <w:pPr>
        <w:pStyle w:val="Heading2"/>
      </w:pPr>
      <w:r>
        <w:rPr>
          <w:rFonts w:ascii="Calibri" w:hAnsi="Calibri"/>
          <w:b/>
          <w:color w:val="3B4259"/>
          <w:sz w:val="28"/>
        </w:rPr>
        <w:t>Table 2 — Beat/Miss History: Last 8 Quarters (Top 2 KPIs)</w:t>
      </w:r>
    </w:p>
    <w:p>
      <w:pPr>
        <w:pStyle w:val="Heading3"/>
      </w:pPr>
      <w:r>
        <w:rPr>
          <w:rFonts w:ascii="Calibri" w:hAnsi="Calibri"/>
          <w:b/>
          <w:color w:val="3B4259"/>
          <w:sz w:val="24"/>
        </w:rPr>
        <w:t>Net Sales ($M)</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FY2026</w:t>
            </w:r>
          </w:p>
        </w:tc>
        <w:tc>
          <w:tcPr>
            <w:tcW w:type="dxa" w:w="1728"/>
          </w:tcPr>
          <w:p>
            <w:r>
              <w:rPr>
                <w:rFonts w:ascii="Calibri" w:hAnsi="Calibri"/>
                <w:sz w:val="22"/>
              </w:rPr>
              <w:t>$2,544</w:t>
            </w:r>
          </w:p>
        </w:tc>
        <w:tc>
          <w:tcPr>
            <w:tcW w:type="dxa" w:w="1728"/>
          </w:tcPr>
          <w:p>
            <w:r>
              <w:rPr>
                <w:rFonts w:ascii="Calibri" w:hAnsi="Calibri"/>
                <w:sz w:val="22"/>
              </w:rPr>
              <w:t>$2,467</w:t>
            </w:r>
          </w:p>
        </w:tc>
        <w:tc>
          <w:tcPr>
            <w:tcW w:type="dxa" w:w="1728"/>
          </w:tcPr>
          <w:p>
            <w:r>
              <w:rPr>
                <w:rFonts w:ascii="Calibri" w:hAnsi="Calibri"/>
                <w:b/>
                <w:color w:val="30A46C"/>
                <w:sz w:val="22"/>
              </w:rPr>
              <w:t>+3.1%</w:t>
            </w:r>
          </w:p>
        </w:tc>
        <w:tc>
          <w:tcPr>
            <w:tcW w:type="dxa" w:w="1728"/>
          </w:tcPr>
          <w:p>
            <w:r>
              <w:rPr>
                <w:rFonts w:ascii="Calibri" w:hAnsi="Calibri"/>
                <w:sz w:val="22"/>
              </w:rPr>
              <w:t>Beat</w:t>
            </w:r>
          </w:p>
        </w:tc>
      </w:tr>
      <w:tr>
        <w:tc>
          <w:tcPr>
            <w:tcW w:type="dxa" w:w="1728"/>
          </w:tcPr>
          <w:p>
            <w:r>
              <w:rPr>
                <w:rFonts w:ascii="Calibri" w:hAnsi="Calibri"/>
                <w:sz w:val="22"/>
              </w:rPr>
              <w:t>Q1 FY2026</w:t>
            </w:r>
          </w:p>
        </w:tc>
        <w:tc>
          <w:tcPr>
            <w:tcW w:type="dxa" w:w="1728"/>
          </w:tcPr>
          <w:p>
            <w:r>
              <w:rPr>
                <w:rFonts w:ascii="Calibri" w:hAnsi="Calibri"/>
                <w:sz w:val="22"/>
              </w:rPr>
              <w:t>$2,285</w:t>
            </w:r>
          </w:p>
        </w:tc>
        <w:tc>
          <w:tcPr>
            <w:tcW w:type="dxa" w:w="1728"/>
          </w:tcPr>
          <w:p>
            <w:r>
              <w:rPr>
                <w:rFonts w:ascii="Calibri" w:hAnsi="Calibri"/>
                <w:sz w:val="22"/>
              </w:rPr>
              <w:t>$2,258</w:t>
            </w:r>
          </w:p>
        </w:tc>
        <w:tc>
          <w:tcPr>
            <w:tcW w:type="dxa" w:w="1728"/>
          </w:tcPr>
          <w:p>
            <w:r>
              <w:rPr>
                <w:rFonts w:ascii="Calibri" w:hAnsi="Calibri"/>
                <w:b/>
                <w:color w:val="30A46C"/>
                <w:sz w:val="22"/>
              </w:rPr>
              <w:t>+1.2%</w:t>
            </w:r>
          </w:p>
        </w:tc>
        <w:tc>
          <w:tcPr>
            <w:tcW w:type="dxa" w:w="1728"/>
          </w:tcPr>
          <w:p>
            <w:r>
              <w:rPr>
                <w:rFonts w:ascii="Calibri" w:hAnsi="Calibri"/>
                <w:sz w:val="22"/>
              </w:rPr>
              <w:t>Beat</w:t>
            </w:r>
          </w:p>
        </w:tc>
      </w:tr>
      <w:tr>
        <w:tc>
          <w:tcPr>
            <w:tcW w:type="dxa" w:w="1728"/>
          </w:tcPr>
          <w:p>
            <w:r>
              <w:rPr>
                <w:rFonts w:ascii="Calibri" w:hAnsi="Calibri"/>
                <w:sz w:val="22"/>
              </w:rPr>
              <w:t>Q4 FY2025</w:t>
            </w:r>
          </w:p>
        </w:tc>
        <w:tc>
          <w:tcPr>
            <w:tcW w:type="dxa" w:w="1728"/>
          </w:tcPr>
          <w:p>
            <w:r>
              <w:rPr>
                <w:rFonts w:ascii="Calibri" w:hAnsi="Calibri"/>
                <w:sz w:val="22"/>
              </w:rPr>
              <w:t>$2,437</w:t>
            </w:r>
          </w:p>
        </w:tc>
        <w:tc>
          <w:tcPr>
            <w:tcW w:type="dxa" w:w="1728"/>
          </w:tcPr>
          <w:p>
            <w:r>
              <w:rPr>
                <w:rFonts w:ascii="Calibri" w:hAnsi="Calibri"/>
                <w:sz w:val="22"/>
              </w:rPr>
              <w:t>$2,400</w:t>
            </w:r>
          </w:p>
        </w:tc>
        <w:tc>
          <w:tcPr>
            <w:tcW w:type="dxa" w:w="1728"/>
          </w:tcPr>
          <w:p>
            <w:r>
              <w:rPr>
                <w:rFonts w:ascii="Calibri" w:hAnsi="Calibri"/>
                <w:b/>
                <w:color w:val="30A46C"/>
                <w:sz w:val="22"/>
              </w:rPr>
              <w:t>+1.5%</w:t>
            </w:r>
          </w:p>
        </w:tc>
        <w:tc>
          <w:tcPr>
            <w:tcW w:type="dxa" w:w="1728"/>
          </w:tcPr>
          <w:p>
            <w:r>
              <w:rPr>
                <w:rFonts w:ascii="Calibri" w:hAnsi="Calibri"/>
                <w:sz w:val="22"/>
              </w:rPr>
              <w:t>Beat</w:t>
            </w:r>
          </w:p>
        </w:tc>
      </w:tr>
      <w:tr>
        <w:tc>
          <w:tcPr>
            <w:tcW w:type="dxa" w:w="1728"/>
          </w:tcPr>
          <w:p>
            <w:r>
              <w:rPr>
                <w:rFonts w:ascii="Calibri" w:hAnsi="Calibri"/>
                <w:sz w:val="22"/>
              </w:rPr>
              <w:t>Q3 FY2025</w:t>
            </w:r>
          </w:p>
        </w:tc>
        <w:tc>
          <w:tcPr>
            <w:tcW w:type="dxa" w:w="1728"/>
          </w:tcPr>
          <w:p>
            <w:r>
              <w:rPr>
                <w:rFonts w:ascii="Calibri" w:hAnsi="Calibri"/>
                <w:sz w:val="22"/>
              </w:rPr>
              <w:t>$2,237</w:t>
            </w:r>
          </w:p>
        </w:tc>
        <w:tc>
          <w:tcPr>
            <w:tcW w:type="dxa" w:w="1728"/>
          </w:tcPr>
          <w:p>
            <w:r>
              <w:rPr>
                <w:rFonts w:ascii="Calibri" w:hAnsi="Calibri"/>
                <w:sz w:val="22"/>
              </w:rPr>
              <w:t>$2,301</w:t>
            </w:r>
          </w:p>
        </w:tc>
        <w:tc>
          <w:tcPr>
            <w:tcW w:type="dxa" w:w="1728"/>
          </w:tcPr>
          <w:p>
            <w:r>
              <w:rPr>
                <w:rFonts w:ascii="Calibri" w:hAnsi="Calibri"/>
                <w:b/>
                <w:color w:val="E5484D"/>
                <w:sz w:val="22"/>
              </w:rPr>
              <w:t>-2.8%</w:t>
            </w:r>
          </w:p>
        </w:tc>
        <w:tc>
          <w:tcPr>
            <w:tcW w:type="dxa" w:w="1728"/>
          </w:tcPr>
          <w:p>
            <w:r>
              <w:rPr>
                <w:rFonts w:ascii="Calibri" w:hAnsi="Calibri"/>
                <w:sz w:val="22"/>
              </w:rPr>
              <w:t>Miss</w:t>
            </w:r>
          </w:p>
        </w:tc>
      </w:tr>
      <w:tr>
        <w:tc>
          <w:tcPr>
            <w:tcW w:type="dxa" w:w="1728"/>
          </w:tcPr>
          <w:p>
            <w:r>
              <w:rPr>
                <w:rFonts w:ascii="Calibri" w:hAnsi="Calibri"/>
                <w:sz w:val="22"/>
              </w:rPr>
              <w:t>Q2 FY2025</w:t>
            </w:r>
          </w:p>
        </w:tc>
        <w:tc>
          <w:tcPr>
            <w:tcW w:type="dxa" w:w="1728"/>
          </w:tcPr>
          <w:p>
            <w:r>
              <w:rPr>
                <w:rFonts w:ascii="Calibri" w:hAnsi="Calibri"/>
                <w:sz w:val="22"/>
              </w:rPr>
              <w:t>$2,150</w:t>
            </w:r>
          </w:p>
        </w:tc>
        <w:tc>
          <w:tcPr>
            <w:tcW w:type="dxa" w:w="1728"/>
          </w:tcPr>
          <w:p>
            <w:r>
              <w:rPr>
                <w:rFonts w:ascii="Calibri" w:hAnsi="Calibri"/>
                <w:sz w:val="22"/>
              </w:rPr>
              <w:t>$2,165</w:t>
            </w:r>
          </w:p>
        </w:tc>
        <w:tc>
          <w:tcPr>
            <w:tcW w:type="dxa" w:w="1728"/>
          </w:tcPr>
          <w:p>
            <w:r>
              <w:rPr>
                <w:rFonts w:ascii="Calibri" w:hAnsi="Calibri"/>
                <w:b/>
                <w:color w:val="E5484D"/>
                <w:sz w:val="22"/>
              </w:rPr>
              <w:t>-0.7%</w:t>
            </w:r>
          </w:p>
        </w:tc>
        <w:tc>
          <w:tcPr>
            <w:tcW w:type="dxa" w:w="1728"/>
          </w:tcPr>
          <w:p>
            <w:r>
              <w:rPr>
                <w:rFonts w:ascii="Calibri" w:hAnsi="Calibri"/>
                <w:sz w:val="22"/>
              </w:rPr>
              <w:t>Miss</w:t>
            </w:r>
          </w:p>
        </w:tc>
      </w:tr>
      <w:tr>
        <w:tc>
          <w:tcPr>
            <w:tcW w:type="dxa" w:w="1728"/>
          </w:tcPr>
          <w:p>
            <w:r>
              <w:rPr>
                <w:rFonts w:ascii="Calibri" w:hAnsi="Calibri"/>
                <w:sz w:val="22"/>
              </w:rPr>
              <w:t>Q1 FY2025</w:t>
            </w:r>
          </w:p>
        </w:tc>
        <w:tc>
          <w:tcPr>
            <w:tcW w:type="dxa" w:w="1728"/>
          </w:tcPr>
          <w:p>
            <w:r>
              <w:rPr>
                <w:rFonts w:ascii="Calibri" w:hAnsi="Calibri"/>
                <w:sz w:val="22"/>
              </w:rPr>
              <w:t>$2,006</w:t>
            </w:r>
          </w:p>
        </w:tc>
        <w:tc>
          <w:tcPr>
            <w:tcW w:type="dxa" w:w="1728"/>
          </w:tcPr>
          <w:p>
            <w:r>
              <w:rPr>
                <w:rFonts w:ascii="Calibri" w:hAnsi="Calibri"/>
                <w:sz w:val="22"/>
              </w:rPr>
              <w:t>$2,036</w:t>
            </w:r>
          </w:p>
        </w:tc>
        <w:tc>
          <w:tcPr>
            <w:tcW w:type="dxa" w:w="1728"/>
          </w:tcPr>
          <w:p>
            <w:r>
              <w:rPr>
                <w:rFonts w:ascii="Calibri" w:hAnsi="Calibri"/>
                <w:b/>
                <w:color w:val="E5484D"/>
                <w:sz w:val="22"/>
              </w:rPr>
              <w:t>-1.5%</w:t>
            </w:r>
          </w:p>
        </w:tc>
        <w:tc>
          <w:tcPr>
            <w:tcW w:type="dxa" w:w="1728"/>
          </w:tcPr>
          <w:p>
            <w:r>
              <w:rPr>
                <w:rFonts w:ascii="Calibri" w:hAnsi="Calibri"/>
                <w:sz w:val="22"/>
              </w:rPr>
              <w:t>Miss</w:t>
            </w:r>
          </w:p>
        </w:tc>
      </w:tr>
      <w:tr>
        <w:tc>
          <w:tcPr>
            <w:tcW w:type="dxa" w:w="1728"/>
          </w:tcPr>
          <w:p>
            <w:r>
              <w:rPr>
                <w:rFonts w:ascii="Calibri" w:hAnsi="Calibri"/>
                <w:sz w:val="22"/>
              </w:rPr>
              <w:t>Q4 FY2024</w:t>
            </w:r>
          </w:p>
        </w:tc>
        <w:tc>
          <w:tcPr>
            <w:tcW w:type="dxa" w:w="1728"/>
          </w:tcPr>
          <w:p>
            <w:r>
              <w:rPr>
                <w:rFonts w:ascii="Calibri" w:hAnsi="Calibri"/>
                <w:sz w:val="22"/>
              </w:rPr>
              <w:t>$2,185</w:t>
            </w:r>
          </w:p>
        </w:tc>
        <w:tc>
          <w:tcPr>
            <w:tcW w:type="dxa" w:w="1728"/>
          </w:tcPr>
          <w:p>
            <w:r>
              <w:rPr>
                <w:rFonts w:ascii="Calibri" w:hAnsi="Calibri"/>
                <w:sz w:val="22"/>
              </w:rPr>
              <w:t>$2,145</w:t>
            </w:r>
          </w:p>
        </w:tc>
        <w:tc>
          <w:tcPr>
            <w:tcW w:type="dxa" w:w="1728"/>
          </w:tcPr>
          <w:p>
            <w:r>
              <w:rPr>
                <w:rFonts w:ascii="Calibri" w:hAnsi="Calibri"/>
                <w:b/>
                <w:color w:val="30A46C"/>
                <w:sz w:val="22"/>
              </w:rPr>
              <w:t>+1.9%</w:t>
            </w:r>
          </w:p>
        </w:tc>
        <w:tc>
          <w:tcPr>
            <w:tcW w:type="dxa" w:w="1728"/>
          </w:tcPr>
          <w:p>
            <w:r>
              <w:rPr>
                <w:rFonts w:ascii="Calibri" w:hAnsi="Calibri"/>
                <w:sz w:val="22"/>
              </w:rPr>
              <w:t>Beat</w:t>
            </w:r>
          </w:p>
        </w:tc>
      </w:tr>
      <w:tr>
        <w:tc>
          <w:tcPr>
            <w:tcW w:type="dxa" w:w="1728"/>
          </w:tcPr>
          <w:p>
            <w:r>
              <w:rPr>
                <w:rFonts w:ascii="Calibri" w:hAnsi="Calibri"/>
                <w:sz w:val="22"/>
              </w:rPr>
              <w:t>Q3 FY2024</w:t>
            </w:r>
          </w:p>
        </w:tc>
        <w:tc>
          <w:tcPr>
            <w:tcW w:type="dxa" w:w="1728"/>
          </w:tcPr>
          <w:p>
            <w:r>
              <w:rPr>
                <w:rFonts w:ascii="Calibri" w:hAnsi="Calibri"/>
                <w:sz w:val="22"/>
              </w:rPr>
              <w:t>$2,046</w:t>
            </w:r>
          </w:p>
        </w:tc>
        <w:tc>
          <w:tcPr>
            <w:tcW w:type="dxa" w:w="1728"/>
          </w:tcPr>
          <w:p>
            <w:r>
              <w:rPr>
                <w:rFonts w:ascii="Calibri" w:hAnsi="Calibri"/>
                <w:sz w:val="22"/>
              </w:rPr>
              <w:t>$2,004</w:t>
            </w:r>
          </w:p>
        </w:tc>
        <w:tc>
          <w:tcPr>
            <w:tcW w:type="dxa" w:w="1728"/>
          </w:tcPr>
          <w:p>
            <w:r>
              <w:rPr>
                <w:rFonts w:ascii="Calibri" w:hAnsi="Calibri"/>
                <w:b/>
                <w:color w:val="30A46C"/>
                <w:sz w:val="22"/>
              </w:rPr>
              <w:t>+2.1%</w:t>
            </w:r>
          </w:p>
        </w:tc>
        <w:tc>
          <w:tcPr>
            <w:tcW w:type="dxa" w:w="1728"/>
          </w:tcPr>
          <w:p>
            <w:r>
              <w:rPr>
                <w:rFonts w:ascii="Calibri" w:hAnsi="Calibri"/>
                <w:sz w:val="22"/>
              </w:rPr>
              <w:t>Beat</w:t>
            </w:r>
          </w:p>
        </w:tc>
      </w:tr>
    </w:tbl>
    <w:p>
      <w:pPr>
        <w:pStyle w:val="Heading3"/>
      </w:pPr>
      <w:r>
        <w:rPr>
          <w:rFonts w:ascii="Calibri" w:hAnsi="Calibri"/>
          <w:b/>
          <w:color w:val="3B4259"/>
          <w:sz w:val="24"/>
        </w:rPr>
        <w:t>EBITDA As Defined ($M)</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FY2026</w:t>
            </w:r>
          </w:p>
        </w:tc>
        <w:tc>
          <w:tcPr>
            <w:tcW w:type="dxa" w:w="1728"/>
          </w:tcPr>
          <w:p>
            <w:r>
              <w:rPr>
                <w:rFonts w:ascii="Calibri" w:hAnsi="Calibri"/>
                <w:sz w:val="22"/>
              </w:rPr>
              <w:t>$1,337</w:t>
            </w:r>
          </w:p>
        </w:tc>
        <w:tc>
          <w:tcPr>
            <w:tcW w:type="dxa" w:w="1728"/>
          </w:tcPr>
          <w:p>
            <w:r>
              <w:rPr>
                <w:rFonts w:ascii="Calibri" w:hAnsi="Calibri"/>
                <w:sz w:val="22"/>
              </w:rPr>
              <w:t>$1,297</w:t>
            </w:r>
          </w:p>
        </w:tc>
        <w:tc>
          <w:tcPr>
            <w:tcW w:type="dxa" w:w="1728"/>
          </w:tcPr>
          <w:p>
            <w:r>
              <w:rPr>
                <w:rFonts w:ascii="Calibri" w:hAnsi="Calibri"/>
                <w:b/>
                <w:color w:val="30A46C"/>
                <w:sz w:val="22"/>
              </w:rPr>
              <w:t>+3.1%</w:t>
            </w:r>
          </w:p>
        </w:tc>
        <w:tc>
          <w:tcPr>
            <w:tcW w:type="dxa" w:w="1728"/>
          </w:tcPr>
          <w:p>
            <w:r>
              <w:rPr>
                <w:rFonts w:ascii="Calibri" w:hAnsi="Calibri"/>
                <w:sz w:val="22"/>
              </w:rPr>
              <w:t>Beat</w:t>
            </w:r>
          </w:p>
        </w:tc>
      </w:tr>
      <w:tr>
        <w:tc>
          <w:tcPr>
            <w:tcW w:type="dxa" w:w="1728"/>
          </w:tcPr>
          <w:p>
            <w:r>
              <w:rPr>
                <w:rFonts w:ascii="Calibri" w:hAnsi="Calibri"/>
                <w:sz w:val="22"/>
              </w:rPr>
              <w:t>Q1 FY2026</w:t>
            </w:r>
          </w:p>
        </w:tc>
        <w:tc>
          <w:tcPr>
            <w:tcW w:type="dxa" w:w="1728"/>
          </w:tcPr>
          <w:p>
            <w:r>
              <w:rPr>
                <w:rFonts w:ascii="Calibri" w:hAnsi="Calibri"/>
                <w:sz w:val="22"/>
              </w:rPr>
              <w:t>$1,197</w:t>
            </w:r>
          </w:p>
        </w:tc>
        <w:tc>
          <w:tcPr>
            <w:tcW w:type="dxa" w:w="1728"/>
          </w:tcPr>
          <w:p>
            <w:r>
              <w:rPr>
                <w:rFonts w:ascii="Calibri" w:hAnsi="Calibri"/>
                <w:sz w:val="22"/>
              </w:rPr>
              <w:t>$1,176</w:t>
            </w:r>
          </w:p>
        </w:tc>
        <w:tc>
          <w:tcPr>
            <w:tcW w:type="dxa" w:w="1728"/>
          </w:tcPr>
          <w:p>
            <w:r>
              <w:rPr>
                <w:rFonts w:ascii="Calibri" w:hAnsi="Calibri"/>
                <w:b/>
                <w:color w:val="30A46C"/>
                <w:sz w:val="22"/>
              </w:rPr>
              <w:t>+1.8%</w:t>
            </w:r>
          </w:p>
        </w:tc>
        <w:tc>
          <w:tcPr>
            <w:tcW w:type="dxa" w:w="1728"/>
          </w:tcPr>
          <w:p>
            <w:r>
              <w:rPr>
                <w:rFonts w:ascii="Calibri" w:hAnsi="Calibri"/>
                <w:sz w:val="22"/>
              </w:rPr>
              <w:t>Beat</w:t>
            </w:r>
          </w:p>
        </w:tc>
      </w:tr>
      <w:tr>
        <w:tc>
          <w:tcPr>
            <w:tcW w:type="dxa" w:w="1728"/>
          </w:tcPr>
          <w:p>
            <w:r>
              <w:rPr>
                <w:rFonts w:ascii="Calibri" w:hAnsi="Calibri"/>
                <w:sz w:val="22"/>
              </w:rPr>
              <w:t>Q4 FY2025</w:t>
            </w:r>
          </w:p>
        </w:tc>
        <w:tc>
          <w:tcPr>
            <w:tcW w:type="dxa" w:w="1728"/>
          </w:tcPr>
          <w:p>
            <w:r>
              <w:rPr>
                <w:rFonts w:ascii="Calibri" w:hAnsi="Calibri"/>
                <w:sz w:val="22"/>
              </w:rPr>
              <w:t>$1,320</w:t>
            </w:r>
          </w:p>
        </w:tc>
        <w:tc>
          <w:tcPr>
            <w:tcW w:type="dxa" w:w="1728"/>
          </w:tcPr>
          <w:p>
            <w:r>
              <w:rPr>
                <w:rFonts w:ascii="Calibri" w:hAnsi="Calibri"/>
                <w:sz w:val="22"/>
              </w:rPr>
              <w:t>$1,293</w:t>
            </w:r>
          </w:p>
        </w:tc>
        <w:tc>
          <w:tcPr>
            <w:tcW w:type="dxa" w:w="1728"/>
          </w:tcPr>
          <w:p>
            <w:r>
              <w:rPr>
                <w:rFonts w:ascii="Calibri" w:hAnsi="Calibri"/>
                <w:b/>
                <w:color w:val="30A46C"/>
                <w:sz w:val="22"/>
              </w:rPr>
              <w:t>+2.1%</w:t>
            </w:r>
          </w:p>
        </w:tc>
        <w:tc>
          <w:tcPr>
            <w:tcW w:type="dxa" w:w="1728"/>
          </w:tcPr>
          <w:p>
            <w:r>
              <w:rPr>
                <w:rFonts w:ascii="Calibri" w:hAnsi="Calibri"/>
                <w:sz w:val="22"/>
              </w:rPr>
              <w:t>Beat</w:t>
            </w:r>
          </w:p>
        </w:tc>
      </w:tr>
      <w:tr>
        <w:tc>
          <w:tcPr>
            <w:tcW w:type="dxa" w:w="1728"/>
          </w:tcPr>
          <w:p>
            <w:r>
              <w:rPr>
                <w:rFonts w:ascii="Calibri" w:hAnsi="Calibri"/>
                <w:sz w:val="22"/>
              </w:rPr>
              <w:t>Q3 FY2025</w:t>
            </w:r>
          </w:p>
        </w:tc>
        <w:tc>
          <w:tcPr>
            <w:tcW w:type="dxa" w:w="1728"/>
          </w:tcPr>
          <w:p>
            <w:r>
              <w:rPr>
                <w:rFonts w:ascii="Calibri" w:hAnsi="Calibri"/>
                <w:sz w:val="22"/>
              </w:rPr>
              <w:t>$1,217</w:t>
            </w:r>
          </w:p>
        </w:tc>
        <w:tc>
          <w:tcPr>
            <w:tcW w:type="dxa" w:w="1728"/>
          </w:tcPr>
          <w:p>
            <w:r>
              <w:rPr>
                <w:rFonts w:ascii="Calibri" w:hAnsi="Calibri"/>
                <w:sz w:val="22"/>
              </w:rPr>
              <w:t>$1,226</w:t>
            </w:r>
          </w:p>
        </w:tc>
        <w:tc>
          <w:tcPr>
            <w:tcW w:type="dxa" w:w="1728"/>
          </w:tcPr>
          <w:p>
            <w:r>
              <w:rPr>
                <w:rFonts w:ascii="Calibri" w:hAnsi="Calibri"/>
                <w:b/>
                <w:color w:val="E5484D"/>
                <w:sz w:val="22"/>
              </w:rPr>
              <w:t>-0.7%</w:t>
            </w:r>
          </w:p>
        </w:tc>
        <w:tc>
          <w:tcPr>
            <w:tcW w:type="dxa" w:w="1728"/>
          </w:tcPr>
          <w:p>
            <w:r>
              <w:rPr>
                <w:rFonts w:ascii="Calibri" w:hAnsi="Calibri"/>
                <w:sz w:val="22"/>
              </w:rPr>
              <w:t>Miss</w:t>
            </w:r>
          </w:p>
        </w:tc>
      </w:tr>
      <w:tr>
        <w:tc>
          <w:tcPr>
            <w:tcW w:type="dxa" w:w="1728"/>
          </w:tcPr>
          <w:p>
            <w:r>
              <w:rPr>
                <w:rFonts w:ascii="Calibri" w:hAnsi="Calibri"/>
                <w:sz w:val="22"/>
              </w:rPr>
              <w:t>Q2 FY2025</w:t>
            </w:r>
          </w:p>
        </w:tc>
        <w:tc>
          <w:tcPr>
            <w:tcW w:type="dxa" w:w="1728"/>
          </w:tcPr>
          <w:p>
            <w:r>
              <w:rPr>
                <w:rFonts w:ascii="Calibri" w:hAnsi="Calibri"/>
                <w:sz w:val="22"/>
              </w:rPr>
              <w:t>$1,162</w:t>
            </w:r>
          </w:p>
        </w:tc>
        <w:tc>
          <w:tcPr>
            <w:tcW w:type="dxa" w:w="1728"/>
          </w:tcPr>
          <w:p>
            <w:r>
              <w:rPr>
                <w:rFonts w:ascii="Calibri" w:hAnsi="Calibri"/>
                <w:sz w:val="22"/>
              </w:rPr>
              <w:t>$1,152</w:t>
            </w:r>
          </w:p>
        </w:tc>
        <w:tc>
          <w:tcPr>
            <w:tcW w:type="dxa" w:w="1728"/>
          </w:tcPr>
          <w:p>
            <w:r>
              <w:rPr>
                <w:rFonts w:ascii="Calibri" w:hAnsi="Calibri"/>
                <w:b/>
                <w:color w:val="30A46C"/>
                <w:sz w:val="22"/>
              </w:rPr>
              <w:t>+0.9%</w:t>
            </w:r>
          </w:p>
        </w:tc>
        <w:tc>
          <w:tcPr>
            <w:tcW w:type="dxa" w:w="1728"/>
          </w:tcPr>
          <w:p>
            <w:r>
              <w:rPr>
                <w:rFonts w:ascii="Calibri" w:hAnsi="Calibri"/>
                <w:sz w:val="22"/>
              </w:rPr>
              <w:t>Beat</w:t>
            </w:r>
          </w:p>
        </w:tc>
      </w:tr>
      <w:tr>
        <w:tc>
          <w:tcPr>
            <w:tcW w:type="dxa" w:w="1728"/>
          </w:tcPr>
          <w:p>
            <w:r>
              <w:rPr>
                <w:rFonts w:ascii="Calibri" w:hAnsi="Calibri"/>
                <w:sz w:val="22"/>
              </w:rPr>
              <w:t>Q1 FY2025</w:t>
            </w:r>
          </w:p>
        </w:tc>
        <w:tc>
          <w:tcPr>
            <w:tcW w:type="dxa" w:w="1728"/>
          </w:tcPr>
          <w:p>
            <w:r>
              <w:rPr>
                <w:rFonts w:ascii="Calibri" w:hAnsi="Calibri"/>
                <w:sz w:val="22"/>
              </w:rPr>
              <w:t>$1,061</w:t>
            </w:r>
          </w:p>
        </w:tc>
        <w:tc>
          <w:tcPr>
            <w:tcW w:type="dxa" w:w="1728"/>
          </w:tcPr>
          <w:p>
            <w:r>
              <w:rPr>
                <w:rFonts w:ascii="Calibri" w:hAnsi="Calibri"/>
                <w:sz w:val="22"/>
              </w:rPr>
              <w:t>$1,055</w:t>
            </w:r>
          </w:p>
        </w:tc>
        <w:tc>
          <w:tcPr>
            <w:tcW w:type="dxa" w:w="1728"/>
          </w:tcPr>
          <w:p>
            <w:r>
              <w:rPr>
                <w:rFonts w:ascii="Calibri" w:hAnsi="Calibri"/>
                <w:b/>
                <w:color w:val="30A46C"/>
                <w:sz w:val="22"/>
              </w:rPr>
              <w:t>+0.6%</w:t>
            </w:r>
          </w:p>
        </w:tc>
        <w:tc>
          <w:tcPr>
            <w:tcW w:type="dxa" w:w="1728"/>
          </w:tcPr>
          <w:p>
            <w:r>
              <w:rPr>
                <w:rFonts w:ascii="Calibri" w:hAnsi="Calibri"/>
                <w:sz w:val="22"/>
              </w:rPr>
              <w:t>Beat</w:t>
            </w:r>
          </w:p>
        </w:tc>
      </w:tr>
      <w:tr>
        <w:tc>
          <w:tcPr>
            <w:tcW w:type="dxa" w:w="1728"/>
          </w:tcPr>
          <w:p>
            <w:r>
              <w:rPr>
                <w:rFonts w:ascii="Calibri" w:hAnsi="Calibri"/>
                <w:sz w:val="22"/>
              </w:rPr>
              <w:t>Q4 FY2024</w:t>
            </w:r>
          </w:p>
        </w:tc>
        <w:tc>
          <w:tcPr>
            <w:tcW w:type="dxa" w:w="1728"/>
          </w:tcPr>
          <w:p>
            <w:r>
              <w:rPr>
                <w:rFonts w:ascii="Calibri" w:hAnsi="Calibri"/>
                <w:sz w:val="22"/>
              </w:rPr>
              <w:t>$1,149</w:t>
            </w:r>
          </w:p>
        </w:tc>
        <w:tc>
          <w:tcPr>
            <w:tcW w:type="dxa" w:w="1728"/>
          </w:tcPr>
          <w:p>
            <w:r>
              <w:rPr>
                <w:rFonts w:ascii="Calibri" w:hAnsi="Calibri"/>
                <w:sz w:val="22"/>
              </w:rPr>
              <w:t>$1,117</w:t>
            </w:r>
          </w:p>
        </w:tc>
        <w:tc>
          <w:tcPr>
            <w:tcW w:type="dxa" w:w="1728"/>
          </w:tcPr>
          <w:p>
            <w:r>
              <w:rPr>
                <w:rFonts w:ascii="Calibri" w:hAnsi="Calibri"/>
                <w:b/>
                <w:color w:val="30A46C"/>
                <w:sz w:val="22"/>
              </w:rPr>
              <w:t>+2.9%</w:t>
            </w:r>
          </w:p>
        </w:tc>
        <w:tc>
          <w:tcPr>
            <w:tcW w:type="dxa" w:w="1728"/>
          </w:tcPr>
          <w:p>
            <w:r>
              <w:rPr>
                <w:rFonts w:ascii="Calibri" w:hAnsi="Calibri"/>
                <w:sz w:val="22"/>
              </w:rPr>
              <w:t>Beat</w:t>
            </w:r>
          </w:p>
        </w:tc>
      </w:tr>
      <w:tr>
        <w:tc>
          <w:tcPr>
            <w:tcW w:type="dxa" w:w="1728"/>
          </w:tcPr>
          <w:p>
            <w:r>
              <w:rPr>
                <w:rFonts w:ascii="Calibri" w:hAnsi="Calibri"/>
                <w:sz w:val="22"/>
              </w:rPr>
              <w:t>Q3 FY2024</w:t>
            </w:r>
          </w:p>
        </w:tc>
        <w:tc>
          <w:tcPr>
            <w:tcW w:type="dxa" w:w="1728"/>
          </w:tcPr>
          <w:p>
            <w:r>
              <w:rPr>
                <w:rFonts w:ascii="Calibri" w:hAnsi="Calibri"/>
                <w:sz w:val="22"/>
              </w:rPr>
              <w:t>$1,091</w:t>
            </w:r>
          </w:p>
        </w:tc>
        <w:tc>
          <w:tcPr>
            <w:tcW w:type="dxa" w:w="1728"/>
          </w:tcPr>
          <w:p>
            <w:r>
              <w:rPr>
                <w:rFonts w:ascii="Calibri" w:hAnsi="Calibri"/>
                <w:sz w:val="22"/>
              </w:rPr>
              <w:t>$1,056</w:t>
            </w:r>
          </w:p>
        </w:tc>
        <w:tc>
          <w:tcPr>
            <w:tcW w:type="dxa" w:w="1728"/>
          </w:tcPr>
          <w:p>
            <w:r>
              <w:rPr>
                <w:rFonts w:ascii="Calibri" w:hAnsi="Calibri"/>
                <w:b/>
                <w:color w:val="30A46C"/>
                <w:sz w:val="22"/>
              </w:rPr>
              <w:t>+3.3%</w:t>
            </w:r>
          </w:p>
        </w:tc>
        <w:tc>
          <w:tcPr>
            <w:tcW w:type="dxa" w:w="1728"/>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TDG has beaten EBITDA As Defined consensus in 7 of the last 8 quarters, with the sole miss (Q3 FY2025) driven by distributor destocking headwinds that have since resolved. Revenue beats have been less consistent (5 of 8), with misses concentrated in the destocking period (Q1–Q3 FY2025). The recent trend (last 3 quarters) is a clean beat streak on both KPIs, setting a high but credible bar for Q3 FY2026.</w:t>
      </w:r>
    </w:p>
    <w:p>
      <w:r>
        <w:rPr>
          <w:rFonts w:ascii="Calibri" w:hAnsi="Calibri"/>
          <w:i/>
          <w:color w:val="525866"/>
          <w:sz w:val="22"/>
        </w:rPr>
        <w:t>Source: 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 raised full-year FY2026 guidance materially at Q2 earnings (May 5), with the large majority of the raise driven by base business outperformance rather than acquisitions. </w:t>
      </w:r>
      <w:r>
        <w:rPr>
          <w:rFonts w:ascii="Calibri" w:hAnsi="Calibri"/>
          <w:b/>
          <w:color w:val="525866"/>
          <w:sz w:val="22"/>
        </w:rPr>
        <w:t>No further formal guidance revisions have been issued since Q2 earnings</w:t>
      </w:r>
      <w:r>
        <w:rPr>
          <w:rFonts w:ascii="Calibri" w:hAnsi="Calibri"/>
          <w:color w:val="525866"/>
          <w:sz w:val="22"/>
        </w:rPr>
        <w:t>; the Stellant withdrawal (July 13) and Prince &amp; Izant announcement (July 27) are capital allocation events, not guidance changes.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(Q2 FY2026 Earnings Call, May 5,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Net Sales</w:t>
            </w:r>
          </w:p>
        </w:tc>
        <w:tc>
          <w:tcPr>
            <w:tcW w:type="dxa" w:w="1728"/>
          </w:tcPr>
          <w:p>
            <w:r>
              <w:rPr>
                <w:rFonts w:ascii="Calibri" w:hAnsi="Calibri"/>
                <w:sz w:val="22"/>
              </w:rPr>
              <w:t>$10.31B–$10.41B (midpoint $10.36B)</w:t>
            </w:r>
          </w:p>
        </w:tc>
        <w:tc>
          <w:tcPr>
            <w:tcW w:type="dxa" w:w="1728"/>
          </w:tcPr>
          <w:p>
            <w:r>
              <w:rPr>
                <w:rFonts w:ascii="Calibri" w:hAnsi="Calibri"/>
                <w:sz w:val="22"/>
              </w:rPr>
              <w:t>—</w:t>
            </w:r>
          </w:p>
        </w:tc>
        <w:tc>
          <w:tcPr>
            <w:tcW w:type="dxa" w:w="1728"/>
          </w:tcPr>
          <w:p>
            <w:r>
              <w:rPr>
                <w:rFonts w:ascii="Calibri" w:hAnsi="Calibri"/>
                <w:sz w:val="22"/>
              </w:rPr>
              <w:t>$10.38B</w:t>
            </w:r>
          </w:p>
        </w:tc>
        <w:tc>
          <w:tcPr>
            <w:tcW w:type="dxa" w:w="1728"/>
          </w:tcPr>
          <w:p>
            <w:r>
              <w:rPr>
                <w:rFonts w:ascii="Calibri" w:hAnsi="Calibri"/>
                <w:sz w:val="22"/>
              </w:rPr>
              <w:t>No post-Q2 revision; consensus ~$20M above midpoint, reflecting slight outperformance credit</w:t>
            </w:r>
          </w:p>
        </w:tc>
      </w:tr>
      <w:tr>
        <w:tc>
          <w:tcPr>
            <w:tcW w:type="dxa" w:w="1728"/>
          </w:tcPr>
          <w:p>
            <w:r>
              <w:rPr>
                <w:rFonts w:ascii="Calibri" w:hAnsi="Calibri"/>
                <w:sz w:val="22"/>
              </w:rPr>
              <w:t>FY2026 EBITDA As Defined</w:t>
            </w:r>
          </w:p>
        </w:tc>
        <w:tc>
          <w:tcPr>
            <w:tcW w:type="dxa" w:w="1728"/>
          </w:tcPr>
          <w:p>
            <w:r>
              <w:rPr>
                <w:rFonts w:ascii="Calibri" w:hAnsi="Calibri"/>
                <w:sz w:val="22"/>
              </w:rPr>
              <w:t>~$5.42B (midpoint); ~52.3% margin</w:t>
            </w:r>
          </w:p>
        </w:tc>
        <w:tc>
          <w:tcPr>
            <w:tcW w:type="dxa" w:w="1728"/>
          </w:tcPr>
          <w:p>
            <w:r>
              <w:rPr>
                <w:rFonts w:ascii="Calibri" w:hAnsi="Calibri"/>
                <w:sz w:val="22"/>
              </w:rPr>
              <w:t>—</w:t>
            </w:r>
          </w:p>
        </w:tc>
        <w:tc>
          <w:tcPr>
            <w:tcW w:type="dxa" w:w="1728"/>
          </w:tcPr>
          <w:p>
            <w:r>
              <w:rPr>
                <w:rFonts w:ascii="Calibri" w:hAnsi="Calibri"/>
                <w:sz w:val="22"/>
              </w:rPr>
              <w:t>$5.44B</w:t>
            </w:r>
          </w:p>
        </w:tc>
        <w:tc>
          <w:tcPr>
            <w:tcW w:type="dxa" w:w="1728"/>
          </w:tcPr>
          <w:p>
            <w:r>
              <w:rPr>
                <w:rFonts w:ascii="Calibri" w:hAnsi="Calibri"/>
                <w:sz w:val="22"/>
              </w:rPr>
              <w:t>No post-Q2 revision; consensus ~$20M above midpoint</w:t>
            </w:r>
          </w:p>
        </w:tc>
      </w:tr>
      <w:tr>
        <w:tc>
          <w:tcPr>
            <w:tcW w:type="dxa" w:w="1728"/>
          </w:tcPr>
          <w:p>
            <w:r>
              <w:rPr>
                <w:rFonts w:ascii="Calibri" w:hAnsi="Calibri"/>
                <w:sz w:val="22"/>
              </w:rPr>
              <w:t>FY2026 Adj. EPS</w:t>
            </w:r>
          </w:p>
        </w:tc>
        <w:tc>
          <w:tcPr>
            <w:tcW w:type="dxa" w:w="1728"/>
          </w:tcPr>
          <w:p>
            <w:r>
              <w:rPr>
                <w:rFonts w:ascii="Calibri" w:hAnsi="Calibri"/>
                <w:sz w:val="22"/>
              </w:rPr>
              <w:t>$39.52 (midpoint)</w:t>
            </w:r>
          </w:p>
        </w:tc>
        <w:tc>
          <w:tcPr>
            <w:tcW w:type="dxa" w:w="1728"/>
          </w:tcPr>
          <w:p>
            <w:r>
              <w:rPr>
                <w:rFonts w:ascii="Calibri" w:hAnsi="Calibri"/>
                <w:sz w:val="22"/>
              </w:rPr>
              <w:t>—</w:t>
            </w:r>
          </w:p>
        </w:tc>
        <w:tc>
          <w:tcPr>
            <w:tcW w:type="dxa" w:w="1728"/>
          </w:tcPr>
          <w:p>
            <w:r>
              <w:rPr>
                <w:rFonts w:ascii="Calibri" w:hAnsi="Calibri"/>
                <w:sz w:val="22"/>
              </w:rPr>
              <w:t>$40.00</w:t>
            </w:r>
          </w:p>
        </w:tc>
        <w:tc>
          <w:tcPr>
            <w:tcW w:type="dxa" w:w="1728"/>
          </w:tcPr>
          <w:p>
            <w:r>
              <w:rPr>
                <w:rFonts w:ascii="Calibri" w:hAnsi="Calibri"/>
                <w:sz w:val="22"/>
              </w:rPr>
              <w:t>No post-Q2 revision; consensus ~$0.48 above midpoint, implying street expects further beat</w:t>
            </w:r>
          </w:p>
        </w:tc>
      </w:tr>
      <w:tr>
        <w:tc>
          <w:tcPr>
            <w:tcW w:type="dxa" w:w="1728"/>
          </w:tcPr>
          <w:p>
            <w:r>
              <w:rPr>
                <w:rFonts w:ascii="Calibri" w:hAnsi="Calibri"/>
                <w:sz w:val="22"/>
              </w:rPr>
              <w:t>FY2026 Free Cash Flow</w:t>
            </w:r>
          </w:p>
        </w:tc>
        <w:tc>
          <w:tcPr>
            <w:tcW w:type="dxa" w:w="1728"/>
          </w:tcPr>
          <w:p>
            <w:r>
              <w:rPr>
                <w:rFonts w:ascii="Calibri" w:hAnsi="Calibri"/>
                <w:sz w:val="22"/>
              </w:rPr>
              <w:t>~$2.5B (raised from ~$2.4B at Q1)</w:t>
            </w:r>
          </w:p>
        </w:tc>
        <w:tc>
          <w:tcPr>
            <w:tcW w:type="dxa" w:w="1728"/>
          </w:tcPr>
          <w:p>
            <w:r>
              <w:rPr>
                <w:rFonts w:ascii="Calibri" w:hAnsi="Calibri"/>
                <w:sz w:val="22"/>
              </w:rPr>
              <w:t>—</w:t>
            </w:r>
          </w:p>
        </w:tc>
        <w:tc>
          <w:tcPr>
            <w:tcW w:type="dxa" w:w="1728"/>
          </w:tcPr>
          <w:p>
            <w:r>
              <w:rPr>
                <w:rFonts w:ascii="Calibri" w:hAnsi="Calibri"/>
                <w:sz w:val="22"/>
              </w:rPr>
              <w:t>$2.14B</w:t>
            </w:r>
          </w:p>
        </w:tc>
        <w:tc>
          <w:tcPr>
            <w:tcW w:type="dxa" w:w="1728"/>
          </w:tcPr>
          <w:p>
            <w:r>
              <w:rPr>
                <w:rFonts w:ascii="Calibri" w:hAnsi="Calibri"/>
                <w:sz w:val="22"/>
              </w:rPr>
              <w:t>Consensus below guidance midpoint; FCF is lumpy quarter-to-quarter; Q2 FCF was only $64M</w:t>
            </w:r>
          </w:p>
        </w:tc>
      </w:tr>
      <w:tr>
        <w:tc>
          <w:tcPr>
            <w:tcW w:type="dxa" w:w="1728"/>
          </w:tcPr>
          <w:p>
            <w:r>
              <w:rPr>
                <w:rFonts w:ascii="Calibri" w:hAnsi="Calibri"/>
                <w:sz w:val="22"/>
              </w:rPr>
              <w:t>Commercial Aftermarket Growth</w:t>
            </w:r>
          </w:p>
        </w:tc>
        <w:tc>
          <w:tcPr>
            <w:tcW w:type="dxa" w:w="1728"/>
          </w:tcPr>
          <w:p>
            <w:r>
              <w:rPr>
                <w:rFonts w:ascii="Calibri" w:hAnsi="Calibri"/>
                <w:sz w:val="22"/>
              </w:rPr>
              <w:t>High-SD to Low-DD% (raised from High-SD%)</w:t>
            </w:r>
          </w:p>
        </w:tc>
        <w:tc>
          <w:tcPr>
            <w:tcW w:type="dxa" w:w="1728"/>
          </w:tcPr>
          <w:p>
            <w:r>
              <w:rPr>
                <w:rFonts w:ascii="Calibri" w:hAnsi="Calibri"/>
                <w:sz w:val="22"/>
              </w:rPr>
              <w:t>—</w:t>
            </w:r>
          </w:p>
        </w:tc>
        <w:tc>
          <w:tcPr>
            <w:tcW w:type="dxa" w:w="1728"/>
          </w:tcPr>
          <w:p>
            <w:r>
              <w:rPr>
                <w:rFonts w:ascii="Calibri" w:hAnsi="Calibri"/>
                <w:sz w:val="22"/>
              </w:rPr>
              <w:t>~+20% YoY Q3 cons.</w:t>
            </w:r>
          </w:p>
        </w:tc>
        <w:tc>
          <w:tcPr>
            <w:tcW w:type="dxa" w:w="1728"/>
          </w:tcPr>
          <w:p>
            <w:r>
              <w:rPr>
                <w:rFonts w:ascii="Calibri" w:hAnsi="Calibri"/>
                <w:sz w:val="22"/>
              </w:rPr>
              <w:t>Middle East conflict flagged as key risk; Q2 CAM bookings were all-time high; management tone cautious but not alarmed</w:t>
            </w:r>
          </w:p>
        </w:tc>
      </w:tr>
      <w:tr>
        <w:tc>
          <w:tcPr>
            <w:tcW w:type="dxa" w:w="1728"/>
          </w:tcPr>
          <w:p>
            <w:r>
              <w:rPr>
                <w:rFonts w:ascii="Calibri" w:hAnsi="Calibri"/>
                <w:sz w:val="22"/>
              </w:rPr>
              <w:t>Commercial OEM Growth</w:t>
            </w:r>
          </w:p>
        </w:tc>
        <w:tc>
          <w:tcPr>
            <w:tcW w:type="dxa" w:w="1728"/>
          </w:tcPr>
          <w:p>
            <w:r>
              <w:rPr>
                <w:rFonts w:ascii="Calibri" w:hAnsi="Calibri"/>
                <w:sz w:val="22"/>
              </w:rPr>
              <w:t>Low-DD to Mid-Teens% (raised from High-SD to Mid-Teens%)</w:t>
            </w:r>
          </w:p>
        </w:tc>
        <w:tc>
          <w:tcPr>
            <w:tcW w:type="dxa" w:w="1728"/>
          </w:tcPr>
          <w:p>
            <w:r>
              <w:rPr>
                <w:rFonts w:ascii="Calibri" w:hAnsi="Calibri"/>
                <w:sz w:val="22"/>
              </w:rPr>
              <w:t>—</w:t>
            </w:r>
          </w:p>
        </w:tc>
        <w:tc>
          <w:tcPr>
            <w:tcW w:type="dxa" w:w="1728"/>
          </w:tcPr>
          <w:p>
            <w:r>
              <w:rPr>
                <w:rFonts w:ascii="Calibri" w:hAnsi="Calibri"/>
                <w:sz w:val="22"/>
              </w:rPr>
              <w:t>~+19% YoY Q3 cons.</w:t>
            </w:r>
          </w:p>
        </w:tc>
        <w:tc>
          <w:tcPr>
            <w:tcW w:type="dxa" w:w="1728"/>
          </w:tcPr>
          <w:p>
            <w:r>
              <w:rPr>
                <w:rFonts w:ascii="Calibri" w:hAnsi="Calibri"/>
                <w:sz w:val="22"/>
              </w:rPr>
              <w:t>Boeing 737 ramping to 47/month; bookings running well ahead of shipments; management encouraged</w:t>
            </w:r>
          </w:p>
        </w:tc>
      </w:tr>
      <w:tr>
        <w:tc>
          <w:tcPr>
            <w:tcW w:type="dxa" w:w="1728"/>
          </w:tcPr>
          <w:p>
            <w:r>
              <w:rPr>
                <w:rFonts w:ascii="Calibri" w:hAnsi="Calibri"/>
                <w:sz w:val="22"/>
              </w:rPr>
              <w:t>Defense Growth</w:t>
            </w:r>
          </w:p>
        </w:tc>
        <w:tc>
          <w:tcPr>
            <w:tcW w:type="dxa" w:w="1728"/>
          </w:tcPr>
          <w:p>
            <w:r>
              <w:rPr>
                <w:rFonts w:ascii="Calibri" w:hAnsi="Calibri"/>
                <w:sz w:val="22"/>
              </w:rPr>
              <w:t>High-SD% (unchanged)</w:t>
            </w:r>
          </w:p>
        </w:tc>
        <w:tc>
          <w:tcPr>
            <w:tcW w:type="dxa" w:w="1728"/>
          </w:tcPr>
          <w:p>
            <w:r>
              <w:rPr>
                <w:rFonts w:ascii="Calibri" w:hAnsi="Calibri"/>
                <w:sz w:val="22"/>
              </w:rPr>
              <w:t>—</w:t>
            </w:r>
          </w:p>
        </w:tc>
        <w:tc>
          <w:tcPr>
            <w:tcW w:type="dxa" w:w="1728"/>
          </w:tcPr>
          <w:p>
            <w:r>
              <w:rPr>
                <w:rFonts w:ascii="Calibri" w:hAnsi="Calibri"/>
                <w:sz w:val="22"/>
              </w:rPr>
              <w:t>~+12% YoY Q3 cons.</w:t>
            </w:r>
          </w:p>
        </w:tc>
        <w:tc>
          <w:tcPr>
            <w:tcW w:type="dxa" w:w="1728"/>
          </w:tcPr>
          <w:p>
            <w:r>
              <w:rPr>
                <w:rFonts w:ascii="Calibri" w:hAnsi="Calibri"/>
                <w:sz w:val="22"/>
              </w:rPr>
              <w:t>Strong bookings building backlog; defense budget tailwinds from bipartisan support for ~25% increase in 2027 budget</w:t>
            </w:r>
          </w:p>
        </w:tc>
      </w:tr>
      <w:tr>
        <w:tc>
          <w:tcPr>
            <w:tcW w:type="dxa" w:w="1728"/>
          </w:tcPr>
          <w:p>
            <w:r>
              <w:rPr>
                <w:rFonts w:ascii="Calibri" w:hAnsi="Calibri"/>
                <w:sz w:val="22"/>
              </w:rPr>
              <w:t>M&amp;A Capacity</w:t>
            </w:r>
          </w:p>
        </w:tc>
        <w:tc>
          <w:tcPr>
            <w:tcW w:type="dxa" w:w="1728"/>
          </w:tcPr>
          <w:p>
            <w:r>
              <w:rPr>
                <w:rFonts w:ascii="Calibri" w:hAnsi="Calibri"/>
                <w:sz w:val="22"/>
              </w:rPr>
              <w:t>&gt;$10B remaining capacity</w:t>
            </w:r>
          </w:p>
        </w:tc>
        <w:tc>
          <w:tcPr>
            <w:tcW w:type="dxa" w:w="1728"/>
          </w:tcPr>
          <w:p>
            <w:r>
              <w:rPr>
                <w:rFonts w:ascii="Calibri" w:hAnsi="Calibri"/>
                <w:sz w:val="22"/>
              </w:rPr>
              <w:t>Stellant withdrawn (Jul 13); Prince &amp; Izant announced ($1.07B, Jul 27)</w:t>
            </w:r>
          </w:p>
        </w:tc>
        <w:tc>
          <w:tcPr>
            <w:tcW w:type="dxa" w:w="1728"/>
          </w:tcPr>
          <w:p>
            <w:r>
              <w:rPr>
                <w:rFonts w:ascii="Calibri" w:hAnsi="Calibri"/>
                <w:sz w:val="22"/>
              </w:rPr>
              <w:t>N/A</w:t>
            </w:r>
          </w:p>
        </w:tc>
        <w:tc>
          <w:tcPr>
            <w:tcW w:type="dxa" w:w="1728"/>
          </w:tcPr>
          <w:p>
            <w:r>
              <w:rPr>
                <w:rFonts w:ascii="Calibri" w:hAnsi="Calibri"/>
                <w:sz w:val="22"/>
              </w:rPr>
              <w:t>↑ Stellant withdrawal frees capital; Prince &amp; Izant adds ~$360M revenue (CY2026); capacity remains substantial</w:t>
            </w:r>
          </w:p>
        </w:tc>
      </w:tr>
    </w:tbl>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drifted modestly higher since the Q2 print, tracking the guidance raise with a slight premium. </w:t>
      </w:r>
      <w:r>
        <w:rPr>
          <w:rFonts w:ascii="Calibri" w:hAnsi="Calibri"/>
          <w:b/>
          <w:color w:val="525866"/>
          <w:sz w:val="22"/>
        </w:rPr>
        <w:t>The gap between consensus and guidance midpoint is small and constructive</w:t>
      </w:r>
      <w:r>
        <w:rPr>
          <w:rFonts w:ascii="Calibri" w:hAnsi="Calibri"/>
          <w:color w:val="525866"/>
          <w:sz w:val="22"/>
        </w:rPr>
        <w:t xml:space="preserve"> — the street is giving TDG modest outperformance credit without getting aggressive, leaving room for a positive surprise if Q3 CAM holds up.</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at May 12, 2026 (+5 Days Post Q2 Print)</w:t>
            </w:r>
          </w:p>
        </w:tc>
        <w:tc>
          <w:tcPr>
            <w:tcW w:type="dxa" w:w="1080"/>
            <w:shd w:val="clear" w:color="auto" w:fill="3B4259"/>
          </w:tcPr>
          <w:p>
            <w:r>
              <w:rPr>
                <w:rFonts w:ascii="Calibri" w:hAnsi="Calibri"/>
                <w:b/>
                <w:color w:val="FFFFFF"/>
                <w:sz w:val="22"/>
              </w:rPr>
              <w:t>Current Consensus (Aug 3,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(Q2 Call, May 5)</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 vs. Guidance (%)</w:t>
            </w:r>
          </w:p>
        </w:tc>
      </w:tr>
      <w:tr>
        <w:tc>
          <w:tcPr>
            <w:tcW w:type="dxa" w:w="1080"/>
          </w:tcPr>
          <w:p>
            <w:r>
              <w:rPr>
                <w:rFonts w:ascii="Calibri" w:hAnsi="Calibri"/>
                <w:sz w:val="22"/>
              </w:rPr>
              <w:t>Net Sales — Q3 FY2026</w:t>
            </w:r>
          </w:p>
        </w:tc>
        <w:tc>
          <w:tcPr>
            <w:tcW w:type="dxa" w:w="1080"/>
          </w:tcPr>
          <w:p>
            <w:r>
              <w:rPr>
                <w:rFonts w:ascii="Calibri" w:hAnsi="Calibri"/>
                <w:sz w:val="22"/>
              </w:rPr>
              <w:t>$2,662M</w:t>
            </w:r>
          </w:p>
        </w:tc>
        <w:tc>
          <w:tcPr>
            <w:tcW w:type="dxa" w:w="1080"/>
          </w:tcPr>
          <w:p>
            <w:r>
              <w:rPr>
                <w:rFonts w:ascii="Calibri" w:hAnsi="Calibri"/>
                <w:sz w:val="22"/>
              </w:rPr>
              <w:t>$2,675M</w:t>
            </w:r>
          </w:p>
        </w:tc>
        <w:tc>
          <w:tcPr>
            <w:tcW w:type="dxa" w:w="1080"/>
          </w:tcPr>
          <w:p>
            <w:r>
              <w:rPr>
                <w:rFonts w:ascii="Calibri" w:hAnsi="Calibri"/>
                <w:b/>
                <w:color w:val="30A46C"/>
                <w:sz w:val="22"/>
              </w:rPr>
              <w:t>+0.5%</w:t>
            </w:r>
          </w:p>
        </w:tc>
        <w:tc>
          <w:tcPr>
            <w:tcW w:type="dxa" w:w="1080"/>
          </w:tcPr>
          <w:p>
            <w:r>
              <w:rPr>
                <w:rFonts w:ascii="Calibri" w:hAnsi="Calibri"/>
                <w:sz w:val="22"/>
              </w:rPr>
              <w:t>Implied by FY guide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 above implied</w:t>
            </w:r>
          </w:p>
        </w:tc>
      </w:tr>
      <w:tr>
        <w:tc>
          <w:tcPr>
            <w:tcW w:type="dxa" w:w="1080"/>
          </w:tcPr>
          <w:p>
            <w:r>
              <w:rPr>
                <w:rFonts w:ascii="Calibri" w:hAnsi="Calibri"/>
                <w:sz w:val="22"/>
              </w:rPr>
              <w:t>Net Sales — FY2026</w:t>
            </w:r>
          </w:p>
        </w:tc>
        <w:tc>
          <w:tcPr>
            <w:tcW w:type="dxa" w:w="1080"/>
          </w:tcPr>
          <w:p>
            <w:r>
              <w:rPr>
                <w:rFonts w:ascii="Calibri" w:hAnsi="Calibri"/>
                <w:sz w:val="22"/>
              </w:rPr>
              <w:t>$10,370M</w:t>
            </w:r>
          </w:p>
        </w:tc>
        <w:tc>
          <w:tcPr>
            <w:tcW w:type="dxa" w:w="1080"/>
          </w:tcPr>
          <w:p>
            <w:r>
              <w:rPr>
                <w:rFonts w:ascii="Calibri" w:hAnsi="Calibri"/>
                <w:sz w:val="22"/>
              </w:rPr>
              <w:t>$10,382M</w:t>
            </w:r>
          </w:p>
        </w:tc>
        <w:tc>
          <w:tcPr>
            <w:tcW w:type="dxa" w:w="1080"/>
          </w:tcPr>
          <w:p>
            <w:r>
              <w:rPr>
                <w:rFonts w:ascii="Calibri" w:hAnsi="Calibri"/>
                <w:sz w:val="22"/>
              </w:rPr>
              <w:t>+0.1%</w:t>
            </w:r>
          </w:p>
        </w:tc>
        <w:tc>
          <w:tcPr>
            <w:tcW w:type="dxa" w:w="1080"/>
          </w:tcPr>
          <w:p>
            <w:r>
              <w:rPr>
                <w:rFonts w:ascii="Calibri" w:hAnsi="Calibri"/>
                <w:sz w:val="22"/>
              </w:rPr>
              <w:t>$10,360M (midpoint)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+0.2% above midpoint</w:t>
            </w:r>
          </w:p>
        </w:tc>
      </w:tr>
      <w:tr>
        <w:tc>
          <w:tcPr>
            <w:tcW w:type="dxa" w:w="1080"/>
          </w:tcPr>
          <w:p>
            <w:r>
              <w:rPr>
                <w:rFonts w:ascii="Calibri" w:hAnsi="Calibri"/>
                <w:sz w:val="22"/>
              </w:rPr>
              <w:t>EBITDA As Defined — Q3 FY2026</w:t>
            </w:r>
          </w:p>
        </w:tc>
        <w:tc>
          <w:tcPr>
            <w:tcW w:type="dxa" w:w="1080"/>
          </w:tcPr>
          <w:p>
            <w:r>
              <w:rPr>
                <w:rFonts w:ascii="Calibri" w:hAnsi="Calibri"/>
                <w:sz w:val="22"/>
              </w:rPr>
              <w:t>$1,393M</w:t>
            </w:r>
          </w:p>
        </w:tc>
        <w:tc>
          <w:tcPr>
            <w:tcW w:type="dxa" w:w="1080"/>
          </w:tcPr>
          <w:p>
            <w:r>
              <w:rPr>
                <w:rFonts w:ascii="Calibri" w:hAnsi="Calibri"/>
                <w:sz w:val="22"/>
              </w:rPr>
              <w:t>$1,400M</w:t>
            </w:r>
          </w:p>
        </w:tc>
        <w:tc>
          <w:tcPr>
            <w:tcW w:type="dxa" w:w="1080"/>
          </w:tcPr>
          <w:p>
            <w:r>
              <w:rPr>
                <w:rFonts w:ascii="Calibri" w:hAnsi="Calibri"/>
                <w:b/>
                <w:color w:val="30A46C"/>
                <w:sz w:val="22"/>
              </w:rPr>
              <w:t>+0.5%</w:t>
            </w:r>
          </w:p>
        </w:tc>
        <w:tc>
          <w:tcPr>
            <w:tcW w:type="dxa" w:w="1080"/>
          </w:tcPr>
          <w:p>
            <w:r>
              <w:rPr>
                <w:rFonts w:ascii="Calibri" w:hAnsi="Calibri"/>
                <w:sz w:val="22"/>
              </w:rPr>
              <w:t>Implied by FY guide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 above implied</w:t>
            </w:r>
          </w:p>
        </w:tc>
      </w:tr>
      <w:tr>
        <w:tc>
          <w:tcPr>
            <w:tcW w:type="dxa" w:w="1080"/>
          </w:tcPr>
          <w:p>
            <w:r>
              <w:rPr>
                <w:rFonts w:ascii="Calibri" w:hAnsi="Calibri"/>
                <w:sz w:val="22"/>
              </w:rPr>
              <w:t>EBITDA As Defined — FY2026</w:t>
            </w:r>
          </w:p>
        </w:tc>
        <w:tc>
          <w:tcPr>
            <w:tcW w:type="dxa" w:w="1080"/>
          </w:tcPr>
          <w:p>
            <w:r>
              <w:rPr>
                <w:rFonts w:ascii="Calibri" w:hAnsi="Calibri"/>
                <w:sz w:val="22"/>
              </w:rPr>
              <w:t>$5,439M</w:t>
            </w:r>
          </w:p>
        </w:tc>
        <w:tc>
          <w:tcPr>
            <w:tcW w:type="dxa" w:w="1080"/>
          </w:tcPr>
          <w:p>
            <w:r>
              <w:rPr>
                <w:rFonts w:ascii="Calibri" w:hAnsi="Calibri"/>
                <w:sz w:val="22"/>
              </w:rPr>
              <w:t>$5,444M</w:t>
            </w:r>
          </w:p>
        </w:tc>
        <w:tc>
          <w:tcPr>
            <w:tcW w:type="dxa" w:w="1080"/>
          </w:tcPr>
          <w:p>
            <w:r>
              <w:rPr>
                <w:rFonts w:ascii="Calibri" w:hAnsi="Calibri"/>
                <w:sz w:val="22"/>
              </w:rPr>
              <w:t>+0.1%</w:t>
            </w:r>
          </w:p>
        </w:tc>
        <w:tc>
          <w:tcPr>
            <w:tcW w:type="dxa" w:w="1080"/>
          </w:tcPr>
          <w:p>
            <w:r>
              <w:rPr>
                <w:rFonts w:ascii="Calibri" w:hAnsi="Calibri"/>
                <w:sz w:val="22"/>
              </w:rPr>
              <w:t>$5,420M (midpoint)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+0.4% above midpoint</w:t>
            </w:r>
          </w:p>
        </w:tc>
      </w:tr>
      <w:tr>
        <w:tc>
          <w:tcPr>
            <w:tcW w:type="dxa" w:w="1080"/>
          </w:tcPr>
          <w:p>
            <w:r>
              <w:rPr>
                <w:rFonts w:ascii="Calibri" w:hAnsi="Calibri"/>
                <w:sz w:val="22"/>
              </w:rPr>
              <w:t>Adj. EPS — Q3 FY2026</w:t>
            </w:r>
          </w:p>
        </w:tc>
        <w:tc>
          <w:tcPr>
            <w:tcW w:type="dxa" w:w="1080"/>
          </w:tcPr>
          <w:p>
            <w:r>
              <w:rPr>
                <w:rFonts w:ascii="Calibri" w:hAnsi="Calibri"/>
                <w:sz w:val="22"/>
              </w:rPr>
              <w:t>$10.20</w:t>
            </w:r>
          </w:p>
        </w:tc>
        <w:tc>
          <w:tcPr>
            <w:tcW w:type="dxa" w:w="1080"/>
          </w:tcPr>
          <w:p>
            <w:r>
              <w:rPr>
                <w:rFonts w:ascii="Calibri" w:hAnsi="Calibri"/>
                <w:sz w:val="22"/>
              </w:rPr>
              <w:t>$10.27</w:t>
            </w:r>
          </w:p>
        </w:tc>
        <w:tc>
          <w:tcPr>
            <w:tcW w:type="dxa" w:w="1080"/>
          </w:tcPr>
          <w:p>
            <w:r>
              <w:rPr>
                <w:rFonts w:ascii="Calibri" w:hAnsi="Calibri"/>
                <w:b/>
                <w:color w:val="30A46C"/>
                <w:sz w:val="22"/>
              </w:rPr>
              <w:t>+0.7%</w:t>
            </w:r>
          </w:p>
        </w:tc>
        <w:tc>
          <w:tcPr>
            <w:tcW w:type="dxa" w:w="1080"/>
          </w:tcPr>
          <w:p>
            <w:r>
              <w:rPr>
                <w:rFonts w:ascii="Calibri" w:hAnsi="Calibri"/>
                <w:sz w:val="22"/>
              </w:rPr>
              <w:t>Implied by FY guide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~+2% above implied</w:t>
            </w:r>
          </w:p>
        </w:tc>
      </w:tr>
      <w:tr>
        <w:tc>
          <w:tcPr>
            <w:tcW w:type="dxa" w:w="1080"/>
          </w:tcPr>
          <w:p>
            <w:r>
              <w:rPr>
                <w:rFonts w:ascii="Calibri" w:hAnsi="Calibri"/>
                <w:sz w:val="22"/>
              </w:rPr>
              <w:t>Adj. EPS — FY2026</w:t>
            </w:r>
          </w:p>
        </w:tc>
        <w:tc>
          <w:tcPr>
            <w:tcW w:type="dxa" w:w="1080"/>
          </w:tcPr>
          <w:p>
            <w:r>
              <w:rPr>
                <w:rFonts w:ascii="Calibri" w:hAnsi="Calibri"/>
                <w:sz w:val="22"/>
              </w:rPr>
              <w:t>$39.99</w:t>
            </w:r>
          </w:p>
        </w:tc>
        <w:tc>
          <w:tcPr>
            <w:tcW w:type="dxa" w:w="1080"/>
          </w:tcPr>
          <w:p>
            <w:r>
              <w:rPr>
                <w:rFonts w:ascii="Calibri" w:hAnsi="Calibri"/>
                <w:sz w:val="22"/>
              </w:rPr>
              <w:t>$40.00</w:t>
            </w:r>
          </w:p>
        </w:tc>
        <w:tc>
          <w:tcPr>
            <w:tcW w:type="dxa" w:w="1080"/>
          </w:tcPr>
          <w:p>
            <w:r>
              <w:rPr>
                <w:rFonts w:ascii="Calibri" w:hAnsi="Calibri"/>
                <w:sz w:val="22"/>
              </w:rPr>
              <w:t>+0.0%</w:t>
            </w:r>
          </w:p>
        </w:tc>
        <w:tc>
          <w:tcPr>
            <w:tcW w:type="dxa" w:w="1080"/>
          </w:tcPr>
          <w:p>
            <w:r>
              <w:rPr>
                <w:rFonts w:ascii="Calibri" w:hAnsi="Calibri"/>
                <w:sz w:val="22"/>
              </w:rPr>
              <w:t>$39.52 (midpoint)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+1.2% above midpoint</w:t>
            </w:r>
          </w:p>
        </w:tc>
      </w:tr>
      <w:tr>
        <w:tc>
          <w:tcPr>
            <w:tcW w:type="dxa" w:w="1080"/>
          </w:tcPr>
          <w:p>
            <w:r>
              <w:rPr>
                <w:rFonts w:ascii="Calibri" w:hAnsi="Calibri"/>
                <w:sz w:val="22"/>
              </w:rPr>
              <w:t>Adj. EPS — FY2027</w:t>
            </w:r>
          </w:p>
        </w:tc>
        <w:tc>
          <w:tcPr>
            <w:tcW w:type="dxa" w:w="1080"/>
          </w:tcPr>
          <w:p>
            <w:r>
              <w:rPr>
                <w:rFonts w:ascii="Calibri" w:hAnsi="Calibri"/>
                <w:sz w:val="22"/>
              </w:rPr>
              <w:t>$47.30</w:t>
            </w:r>
          </w:p>
        </w:tc>
        <w:tc>
          <w:tcPr>
            <w:tcW w:type="dxa" w:w="1080"/>
          </w:tcPr>
          <w:p>
            <w:r>
              <w:rPr>
                <w:rFonts w:ascii="Calibri" w:hAnsi="Calibri"/>
                <w:sz w:val="22"/>
              </w:rPr>
              <w:t>$47.53</w:t>
            </w:r>
          </w:p>
        </w:tc>
        <w:tc>
          <w:tcPr>
            <w:tcW w:type="dxa" w:w="1080"/>
          </w:tcPr>
          <w:p>
            <w:r>
              <w:rPr>
                <w:rFonts w:ascii="Calibri" w:hAnsi="Calibri"/>
                <w:b/>
                <w:color w:val="30A46C"/>
                <w:sz w:val="22"/>
              </w:rPr>
              <w:t>+0.5%</w:t>
            </w:r>
          </w:p>
        </w:tc>
        <w:tc>
          <w:tcPr>
            <w:tcW w:type="dxa" w:w="1080"/>
          </w:tcPr>
          <w:p>
            <w:r>
              <w:rPr>
                <w:rFonts w:ascii="Calibri" w:hAnsi="Calibri"/>
                <w:sz w:val="22"/>
              </w:rPr>
              <w:t>No FY2027 guidance issued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Free Cash Flow — FY2026</w:t>
            </w:r>
          </w:p>
        </w:tc>
        <w:tc>
          <w:tcPr>
            <w:tcW w:type="dxa" w:w="1080"/>
          </w:tcPr>
          <w:p>
            <w:r>
              <w:rPr>
                <w:rFonts w:ascii="Calibri" w:hAnsi="Calibri"/>
                <w:sz w:val="22"/>
              </w:rPr>
              <w:t>$2,114M</w:t>
            </w:r>
          </w:p>
        </w:tc>
        <w:tc>
          <w:tcPr>
            <w:tcW w:type="dxa" w:w="1080"/>
          </w:tcPr>
          <w:p>
            <w:r>
              <w:rPr>
                <w:rFonts w:ascii="Calibri" w:hAnsi="Calibri"/>
                <w:sz w:val="22"/>
              </w:rPr>
              <w:t>$2,136M</w:t>
            </w:r>
          </w:p>
        </w:tc>
        <w:tc>
          <w:tcPr>
            <w:tcW w:type="dxa" w:w="1080"/>
          </w:tcPr>
          <w:p>
            <w:r>
              <w:rPr>
                <w:rFonts w:ascii="Calibri" w:hAnsi="Calibri"/>
                <w:sz w:val="22"/>
              </w:rPr>
              <w:t>+1.0%</w:t>
            </w:r>
          </w:p>
        </w:tc>
        <w:tc>
          <w:tcPr>
            <w:tcW w:type="dxa" w:w="1080"/>
          </w:tcPr>
          <w:p>
            <w:r>
              <w:rPr>
                <w:rFonts w:ascii="Calibri" w:hAnsi="Calibri"/>
                <w:sz w:val="22"/>
              </w:rPr>
              <w:t>~$2,500M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-14.6% below guidance</w:t>
            </w:r>
          </w:p>
        </w:tc>
      </w:tr>
    </w:tbl>
    <w:p>
      <w:r>
        <w:rPr>
          <w:rFonts w:ascii="Calibri" w:hAnsi="Calibri"/>
          <w:i/>
          <w:color w:val="525866"/>
          <w:sz w:val="22"/>
        </w:rPr>
        <w:t>Estimates have been stable-to-slightly-higher since the Q2 print, with no meaningful divergence from guidance. The FCF consensus gap vs. guidance (-14.6%) reflects the lumpiness of TDG’s FCF profile (Q2 FCF was only $64M) and the market’s conservatism on working capital timing; management’s $2.5B full-year target implies a very strong H2 FCF ramp. FY2027 EPS consensus of $47.53 implies ~19% growth, consistent with TDG’s long-term algorithm.</w:t>
      </w:r>
    </w:p>
    <w:p>
      <w:r>
        <w:rPr>
          <w:rFonts w:ascii="Calibri" w:hAnsi="Calibri"/>
          <w:i/>
          <w:color w:val="525866"/>
          <w:sz w:val="22"/>
        </w:rPr>
        <w:t>Source: Visible Alpha Consensus and Actuals Data. Baseline as of May 12, 2026 (5 trading days post Q2 print).</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 xml:space="preserve">TDG has underperformed the sector ETF (ITA) since the Q2 print (+8% vs. ITA +14%), despite strong fundamentals — the gap reflects the Stellant withdrawal overhang and a mid-July selloff. </w:t>
      </w:r>
      <w:r>
        <w:rPr>
          <w:rFonts w:ascii="Calibri" w:hAnsi="Calibri"/>
          <w:b/>
          <w:color w:val="525866"/>
          <w:sz w:val="22"/>
        </w:rPr>
        <w:t>The underperformance vs. ITA is sentiment-driven, not earnings-driven</w:t>
      </w:r>
      <w:r>
        <w:rPr>
          <w:rFonts w:ascii="Calibri" w:hAnsi="Calibri"/>
          <w:color w:val="525866"/>
          <w:sz w:val="22"/>
        </w:rPr>
        <w:t>, and creates a potential catch-up opportunity if Q3 results confirm the base business trajectory.</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TDG vs. ITA (iShares U.S. Aerospace &amp; Defense ETF) vs. S&amp;P 500 — Indexed to 100 at May 5, 2026 (Q2 FY2026 Earnings Date). Source: Stock Price Data.</w:t>
      </w:r>
    </w:p>
    <w:p>
      <w:r>
        <w:rPr>
          <w:rFonts w:ascii="Calibri" w:hAnsi="Calibri"/>
          <w:b/>
          <w:color w:val="525866"/>
          <w:sz w:val="22"/>
        </w:rPr>
        <w:t>Performance Summary (May 5 – Aug 4, 2026):</w:t>
      </w:r>
    </w:p>
    <w:p>
      <w:pPr>
        <w:pStyle w:val="ListBullet"/>
        <w:ind w:left="360" w:hanging="360"/>
      </w:pPr>
      <w:r>
        <w:rPr>
          <w:rFonts w:ascii="Calibri" w:hAnsi="Calibri"/>
          <w:b/>
          <w:color w:val="525866"/>
          <w:sz w:val="22"/>
        </w:rPr>
        <w:t xml:space="preserve">TDG: </w:t>
      </w:r>
      <w:r>
        <w:rPr>
          <w:rFonts w:ascii="Calibri" w:hAnsi="Calibri"/>
          <w:color w:val="525866"/>
          <w:sz w:val="22"/>
        </w:rPr>
        <w:t>+7.9% (from $1,191.33 to $1,285.56). Strong initial reaction on Q2 beat (+3.5% day-of), followed by a mid-July selloff to ~$1,204 (July 20) driven by the Stellant withdrawal (July 13) and broader sector rotation. Recovered sharply in late July on the Prince &amp; Izant acquisition announcement and sector strength.</w:t>
      </w:r>
    </w:p>
    <w:p>
      <w:pPr>
        <w:pStyle w:val="ListBullet"/>
        <w:ind w:left="360" w:hanging="360"/>
      </w:pPr>
      <w:r>
        <w:rPr>
          <w:rFonts w:ascii="Calibri" w:hAnsi="Calibri"/>
          <w:b/>
          <w:color w:val="525866"/>
          <w:sz w:val="22"/>
        </w:rPr>
        <w:t xml:space="preserve">ITA (Sector ETF): </w:t>
      </w:r>
      <w:r>
        <w:rPr>
          <w:rFonts w:ascii="Calibri" w:hAnsi="Calibri"/>
          <w:color w:val="525866"/>
          <w:sz w:val="22"/>
        </w:rPr>
        <w:t>+14.3% (from $215.37 to $246.08). Sector outperformed TDG materially, driven by defense budget tailwinds, RTX and GE Aerospace strong prints, and broad aerospace re-rating. TDG’s relative underperformance is notable given its fundamental outperformance.</w:t>
      </w:r>
    </w:p>
    <w:p>
      <w:pPr>
        <w:pStyle w:val="ListBullet"/>
        <w:ind w:left="360" w:hanging="360"/>
      </w:pPr>
      <w:r>
        <w:rPr>
          <w:rFonts w:ascii="Calibri" w:hAnsi="Calibri"/>
          <w:b/>
          <w:color w:val="525866"/>
          <w:sz w:val="22"/>
        </w:rPr>
        <w:t xml:space="preserve">S&amp;P 500: </w:t>
      </w:r>
      <w:r>
        <w:rPr>
          <w:rFonts w:ascii="Calibri" w:hAnsi="Calibri"/>
          <w:color w:val="525866"/>
          <w:sz w:val="22"/>
        </w:rPr>
        <w:t>+4.7% (from $723.77 to $757.67). TDG outperformed the broad market on an absolute basis.</w:t>
      </w:r>
    </w:p>
    <w:p>
      <w:pPr>
        <w:pStyle w:val="ListBullet"/>
        <w:ind w:left="360" w:hanging="360"/>
      </w:pPr>
      <w:r>
        <w:rPr>
          <w:rFonts w:ascii="Calibri" w:hAnsi="Calibri"/>
          <w:b/>
          <w:color w:val="525866"/>
          <w:sz w:val="22"/>
        </w:rPr>
        <w:t xml:space="preserve">Key Events: </w:t>
      </w:r>
      <w:r>
        <w:rPr>
          <w:rFonts w:ascii="Calibri" w:hAnsi="Calibri"/>
          <w:color w:val="525866"/>
          <w:sz w:val="22"/>
        </w:rPr>
        <w:t>July 13 — Stellant withdrawal (8-K); stock fell ~5% over the following week. July 27 — Prince &amp; Izant acquisition announced ($1.07B); stock rallied ~4% over two sessions.</w:t>
      </w:r>
    </w:p>
    <w:p>
      <w:r>
        <w:br w:type="page"/>
      </w:r>
    </w:p>
    <w:p>
      <w:pPr>
        <w:pStyle w:val="Heading1"/>
        <w:pBdr>
          <w:bottom w:val="single" w:sz="4" w:space="1" w:color="FB9120"/>
        </w:pBdr>
      </w:pPr>
      <w:r>
        <w:rPr>
          <w:rFonts w:ascii="Calibri" w:hAnsi="Calibri"/>
          <w:b/>
          <w:color w:val="3B4259"/>
          <w:sz w:val="40"/>
        </w:rPr>
        <w:t>6. Peer Commentaries — Read-Through (Last 60 Days, Current Quarter Focus)</w:t>
      </w:r>
    </w:p>
    <w:p>
      <w:r>
        <w:rPr>
          <w:rFonts w:ascii="Calibri" w:hAnsi="Calibri"/>
          <w:b/>
          <w:color w:val="525866"/>
          <w:sz w:val="22"/>
        </w:rPr>
        <w:t xml:space="preserve">Key Takeaway: </w:t>
      </w:r>
      <w:r>
        <w:rPr>
          <w:rFonts w:ascii="Calibri" w:hAnsi="Calibri"/>
          <w:color w:val="525866"/>
          <w:sz w:val="22"/>
        </w:rPr>
        <w:t xml:space="preserve">Peer commentary from Q2 2026 earnings calls (reported June–July 2026, covering the April–June quarter that overlaps with TDG’s Q3 FY2026) is </w:t>
      </w:r>
      <w:r>
        <w:rPr>
          <w:rFonts w:ascii="Calibri" w:hAnsi="Calibri"/>
          <w:b/>
          <w:color w:val="525866"/>
          <w:sz w:val="22"/>
        </w:rPr>
        <w:t>broadly positive for TDG’s setup</w:t>
      </w:r>
      <w:r>
        <w:rPr>
          <w:rFonts w:ascii="Calibri" w:hAnsi="Calibri"/>
          <w:color w:val="525866"/>
          <w:sz w:val="22"/>
        </w:rPr>
        <w:t>: commercial aftermarket demand is resilient and accelerating, OEM production rates are ramping, defense bookings are at record levels, and the Middle East disruption appears manageable and self-correcting. All four peers raised full-year guidance.</w:t>
      </w:r>
    </w:p>
    <w:p>
      <w:r>
        <w:rPr>
          <w:rFonts w:ascii="Calibri" w:hAnsi="Calibri"/>
          <w:b/>
          <w:color w:val="525866"/>
          <w:sz w:val="22"/>
        </w:rPr>
        <w:t xml:space="preserve">Note: </w:t>
      </w:r>
      <w:r>
        <w:rPr>
          <w:rFonts w:ascii="Calibri" w:hAnsi="Calibri"/>
          <w:i/>
          <w:color w:val="525866"/>
          <w:sz w:val="22"/>
        </w:rPr>
        <w:t>All peer commentary below is from Q2 2026 earnings calls (reported May–July 2026), covering the calendar quarter ending June 2026 — which aligns with TDG’s Q3 FY2026 (April–June 2026). Only forward-looking commentary and current-quarter observations relevant to TDG’s end markets are included.</w:t>
      </w:r>
    </w:p>
    <w:p>
      <w:pPr>
        <w:pStyle w:val="Heading2"/>
      </w:pPr>
      <w:r>
        <w:rPr>
          <w:rFonts w:ascii="Calibri" w:hAnsi="Calibri"/>
          <w:b/>
          <w:color w:val="3B4259"/>
          <w:sz w:val="28"/>
        </w:rPr>
        <w:t>RTX (Raytheon Technologies) — Q2 2026 Earnings (July 23, 2026)</w:t>
      </w:r>
    </w:p>
    <w:p>
      <w:r>
        <w:rPr>
          <w:rFonts w:ascii="Calibri" w:hAnsi="Calibri"/>
          <w:b/>
          <w:color w:val="525866"/>
          <w:sz w:val="22"/>
        </w:rPr>
        <w:t xml:space="preserve">Read-Through: </w:t>
      </w:r>
      <w:r>
        <w:rPr>
          <w:rFonts w:ascii="Calibri" w:hAnsi="Calibri"/>
          <w:color w:val="525866"/>
          <w:sz w:val="22"/>
        </w:rPr>
        <w:t>Strongly positive for TDG’s commercial aftermarket and defense channels.</w:t>
      </w:r>
    </w:p>
    <w:p>
      <w:pPr>
        <w:pStyle w:val="ListBullet"/>
        <w:ind w:left="360" w:hanging="360"/>
      </w:pPr>
      <w:r>
        <w:rPr>
          <w:rFonts w:ascii="Calibri" w:hAnsi="Calibri"/>
          <w:b/>
          <w:color w:val="525866"/>
          <w:sz w:val="22"/>
        </w:rPr>
        <w:t xml:space="preserve">Commercial Aftermarket Acceleration: </w:t>
      </w:r>
      <w:r>
        <w:rPr>
          <w:rFonts w:ascii="Calibri" w:hAnsi="Calibri"/>
          <w:color w:val="525866"/>
          <w:sz w:val="22"/>
        </w:rPr>
        <w:t xml:space="preserve">RTX raised full-year commercial aftermarket growth guidance to </w:t>
      </w:r>
      <w:r>
        <w:rPr>
          <w:rFonts w:ascii="Calibri" w:hAnsi="Calibri"/>
          <w:b/>
          <w:color w:val="525866"/>
          <w:sz w:val="22"/>
        </w:rPr>
        <w:t>low double digits</w:t>
      </w:r>
      <w:r>
        <w:rPr>
          <w:rFonts w:ascii="Calibri" w:hAnsi="Calibri"/>
          <w:color w:val="525866"/>
          <w:sz w:val="22"/>
        </w:rPr>
        <w:t xml:space="preserve"> (from high single digits), driven by Pratt &amp; Whitney MRO volume up 40%+ YoY and Collins commercial aftermarket up 10%. "Passenger air travel remains resilient for the year. Global RPKs are expected to grow in all regions outside of the Middle East." → </w:t>
      </w:r>
      <w:r>
        <w:rPr>
          <w:rFonts w:ascii="Calibri" w:hAnsi="Calibri"/>
          <w:b/>
          <w:color w:val="525866"/>
          <w:sz w:val="22"/>
        </w:rPr>
        <w:t>Directly supports TDG’s high-SD to low-DD% CAM guidance and suggests upside risk to the range.</w:t>
      </w:r>
    </w:p>
    <w:p>
      <w:pPr>
        <w:pStyle w:val="ListBullet"/>
        <w:ind w:left="360" w:hanging="360"/>
      </w:pPr>
      <w:r>
        <w:rPr>
          <w:rFonts w:ascii="Calibri" w:hAnsi="Calibri"/>
          <w:b/>
          <w:color w:val="525866"/>
          <w:sz w:val="22"/>
        </w:rPr>
        <w:t xml:space="preserve">Middle East Impact Contained: </w:t>
      </w:r>
      <w:r>
        <w:rPr>
          <w:rFonts w:ascii="Calibri" w:hAnsi="Calibri"/>
          <w:color w:val="525866"/>
          <w:sz w:val="22"/>
        </w:rPr>
        <w:t xml:space="preserve">RTX noted no material change in commercial aftermarket ordering activity from the Middle East conflict, consistent with TDG management’s Q2 commentary that disruptions of this type are "sharp and self-correcting." Engine retirements remain low. → </w:t>
      </w:r>
      <w:r>
        <w:rPr>
          <w:rFonts w:ascii="Calibri" w:hAnsi="Calibri"/>
          <w:b/>
          <w:color w:val="525866"/>
          <w:sz w:val="22"/>
        </w:rPr>
        <w:t>Reduces the tail risk of a CAM miss driven by Middle East demand destruction.</w:t>
      </w:r>
    </w:p>
    <w:p>
      <w:pPr>
        <w:pStyle w:val="ListBullet"/>
        <w:ind w:left="360" w:hanging="360"/>
      </w:pPr>
      <w:r>
        <w:rPr>
          <w:rFonts w:ascii="Calibri" w:hAnsi="Calibri"/>
          <w:b/>
          <w:color w:val="525866"/>
          <w:sz w:val="22"/>
        </w:rPr>
        <w:t xml:space="preserve">OEM Production Ramp Confirmed: </w:t>
      </w:r>
      <w:r>
        <w:rPr>
          <w:rFonts w:ascii="Calibri" w:hAnsi="Calibri"/>
          <w:color w:val="525866"/>
          <w:sz w:val="22"/>
        </w:rPr>
        <w:t xml:space="preserve">Collins commercial OE sales up 26%; RTX raised commercial OE growth guidance to mid-to-high single digits. Airframers "continue to cite strong demand, with further growth expected in the second half." → </w:t>
      </w:r>
      <w:r>
        <w:rPr>
          <w:rFonts w:ascii="Calibri" w:hAnsi="Calibri"/>
          <w:b/>
          <w:color w:val="525866"/>
          <w:sz w:val="22"/>
        </w:rPr>
        <w:t>Supports TDG’s commercial OEM channel guidance and bookings-ahead-of-shipments commentary.</w:t>
      </w:r>
    </w:p>
    <w:p>
      <w:pPr>
        <w:pStyle w:val="ListBullet"/>
        <w:ind w:left="360" w:hanging="360"/>
      </w:pPr>
      <w:r>
        <w:rPr>
          <w:rFonts w:ascii="Calibri" w:hAnsi="Calibri"/>
          <w:b/>
          <w:color w:val="525866"/>
          <w:sz w:val="22"/>
        </w:rPr>
        <w:t xml:space="preserve">Defense Bookings at Record Levels: </w:t>
      </w:r>
      <w:r>
        <w:rPr>
          <w:rFonts w:ascii="Calibri" w:hAnsi="Calibri"/>
          <w:color w:val="525866"/>
          <w:sz w:val="22"/>
        </w:rPr>
        <w:t xml:space="preserve">Raytheon booked &gt;$10B of international awards in H1 2026 (2x YoY), backlog at record $289B. Bipartisan support for ~25% increase in 2027 U.S. defense budget. RTX is actively engaging supply chain for higher volumes. → </w:t>
      </w:r>
      <w:r>
        <w:rPr>
          <w:rFonts w:ascii="Calibri" w:hAnsi="Calibri"/>
          <w:b/>
          <w:color w:val="525866"/>
          <w:sz w:val="22"/>
        </w:rPr>
        <w:t>Positive read-through for TDG’s defense channel, which grew 10%+ in Q2 FY2026.</w:t>
      </w:r>
    </w:p>
    <w:p>
      <w:pPr>
        <w:pStyle w:val="ListBullet"/>
        <w:ind w:left="360" w:hanging="360"/>
      </w:pPr>
      <w:r>
        <w:rPr>
          <w:rFonts w:ascii="Calibri" w:hAnsi="Calibri"/>
          <w:b/>
          <w:color w:val="525866"/>
          <w:sz w:val="22"/>
        </w:rPr>
        <w:t xml:space="preserve">Supply Chain Engagement: </w:t>
      </w:r>
      <w:r>
        <w:rPr>
          <w:rFonts w:ascii="Calibri" w:hAnsi="Calibri"/>
          <w:color w:val="525866"/>
          <w:sz w:val="22"/>
        </w:rPr>
        <w:t xml:space="preserve">RTX is investing $100M+ to expand GTF MRO capacity and engaging second/third-tier suppliers for sole-source positions. "The biggest game-changer for the supply base is the multi-year nature of framework agreements." → </w:t>
      </w:r>
      <w:r>
        <w:rPr>
          <w:rFonts w:ascii="Calibri" w:hAnsi="Calibri"/>
          <w:b/>
          <w:color w:val="525866"/>
          <w:sz w:val="22"/>
        </w:rPr>
        <w:t>TDG, as a proprietary sole-source supplier, is well-positioned to benefit from multi-year demand visibility.</w:t>
      </w:r>
    </w:p>
    <w:p>
      <w:pPr>
        <w:pStyle w:val="Heading2"/>
      </w:pPr>
      <w:r>
        <w:rPr>
          <w:rFonts w:ascii="Calibri" w:hAnsi="Calibri"/>
          <w:b/>
          <w:color w:val="3B4259"/>
          <w:sz w:val="28"/>
        </w:rPr>
        <w:t>GE Aerospace (GE) — Q2 2026 Earnings (July 16, 2026)</w:t>
      </w:r>
    </w:p>
    <w:p>
      <w:r>
        <w:rPr>
          <w:rFonts w:ascii="Calibri" w:hAnsi="Calibri"/>
          <w:b/>
          <w:color w:val="525866"/>
          <w:sz w:val="22"/>
        </w:rPr>
        <w:t xml:space="preserve">Read-Through: </w:t>
      </w:r>
      <w:r>
        <w:rPr>
          <w:rFonts w:ascii="Calibri" w:hAnsi="Calibri"/>
          <w:color w:val="525866"/>
          <w:sz w:val="22"/>
        </w:rPr>
        <w:t>Highly positive for TDG’s aftermarket and OEM channels; GE’s MRO capacity constraints are a direct demand signal for TDG’s proprietary engine components.</w:t>
      </w:r>
    </w:p>
    <w:p>
      <w:pPr>
        <w:pStyle w:val="ListBullet"/>
        <w:ind w:left="360" w:hanging="360"/>
      </w:pPr>
      <w:r>
        <w:rPr>
          <w:rFonts w:ascii="Calibri" w:hAnsi="Calibri"/>
          <w:b/>
          <w:color w:val="525866"/>
          <w:sz w:val="22"/>
        </w:rPr>
        <w:t xml:space="preserve">Aftermarket Demand Unambiguous: </w:t>
      </w:r>
      <w:r>
        <w:rPr>
          <w:rFonts w:ascii="Calibri" w:hAnsi="Calibri"/>
          <w:color w:val="525866"/>
          <w:sz w:val="22"/>
        </w:rPr>
        <w:t xml:space="preserve">GE raised full-year commercial services growth to </w:t>
      </w:r>
      <w:r>
        <w:rPr>
          <w:rFonts w:ascii="Calibri" w:hAnsi="Calibri"/>
          <w:b/>
          <w:color w:val="525866"/>
          <w:sz w:val="22"/>
        </w:rPr>
        <w:t>low 20s%</w:t>
      </w:r>
      <w:r>
        <w:rPr>
          <w:rFonts w:ascii="Calibri" w:hAnsi="Calibri"/>
          <w:color w:val="525866"/>
          <w:sz w:val="22"/>
        </w:rPr>
        <w:t xml:space="preserve"> (from mid-teens). Commercial services backlog at ~$170B, up ~$30B since end of 2024. "We do not have a demand problem." Record internal shop visit output in Q2; Leap internal shop visits up 50%+. → </w:t>
      </w:r>
      <w:r>
        <w:rPr>
          <w:rFonts w:ascii="Calibri" w:hAnsi="Calibri"/>
          <w:b/>
          <w:color w:val="525866"/>
          <w:sz w:val="22"/>
        </w:rPr>
        <w:t>The strongest possible read-through for TDG’s engine-content aftermarket products, which management described as growing toward the high end of the range in Q2.</w:t>
      </w:r>
    </w:p>
    <w:p>
      <w:pPr>
        <w:pStyle w:val="ListBullet"/>
        <w:ind w:left="360" w:hanging="360"/>
      </w:pPr>
      <w:r>
        <w:rPr>
          <w:rFonts w:ascii="Calibri" w:hAnsi="Calibri"/>
          <w:b/>
          <w:color w:val="525866"/>
          <w:sz w:val="22"/>
        </w:rPr>
        <w:t xml:space="preserve">MRO Oversubscribed: </w:t>
      </w:r>
      <w:r>
        <w:rPr>
          <w:rFonts w:ascii="Calibri" w:hAnsi="Calibri"/>
          <w:color w:val="525866"/>
          <w:sz w:val="22"/>
        </w:rPr>
        <w:t xml:space="preserve">GE’s MRO footprint is "oversubscribed at this point in a significant way" — the pipeline of planned Q3 removals exceeds the full-year shop visit guide by 40%+. Leap turnaround times now ~100 days, down 2+ weeks YoY. → </w:t>
      </w:r>
      <w:r>
        <w:rPr>
          <w:rFonts w:ascii="Calibri" w:hAnsi="Calibri"/>
          <w:b/>
          <w:color w:val="525866"/>
          <w:sz w:val="22"/>
        </w:rPr>
        <w:t>Sustained high shop visit volumes are a direct demand driver for TDG’s aftermarket parts.</w:t>
      </w:r>
    </w:p>
    <w:p>
      <w:pPr>
        <w:pStyle w:val="ListBullet"/>
        <w:ind w:left="360" w:hanging="360"/>
      </w:pPr>
      <w:r>
        <w:rPr>
          <w:rFonts w:ascii="Calibri" w:hAnsi="Calibri"/>
          <w:b/>
          <w:color w:val="525866"/>
          <w:sz w:val="22"/>
        </w:rPr>
        <w:t xml:space="preserve">OEM Deliveries Accelerating: </w:t>
      </w:r>
      <w:r>
        <w:rPr>
          <w:rFonts w:ascii="Calibri" w:hAnsi="Calibri"/>
          <w:color w:val="525866"/>
          <w:sz w:val="22"/>
        </w:rPr>
        <w:t xml:space="preserve">Total engine deliveries up 31% in H1 2026; Leap deliveries up 41%. GE raised commercial equipment growth to ~20% (from mid-to-high teens). → </w:t>
      </w:r>
      <w:r>
        <w:rPr>
          <w:rFonts w:ascii="Calibri" w:hAnsi="Calibri"/>
          <w:b/>
          <w:color w:val="525866"/>
          <w:sz w:val="22"/>
        </w:rPr>
        <w:t>Supports TDG’s commercial OEM bookings running well ahead of shipments.</w:t>
      </w:r>
    </w:p>
    <w:p>
      <w:pPr>
        <w:pStyle w:val="ListBullet"/>
        <w:ind w:left="360" w:hanging="360"/>
      </w:pPr>
      <w:r>
        <w:rPr>
          <w:rFonts w:ascii="Calibri" w:hAnsi="Calibri"/>
          <w:b/>
          <w:color w:val="525866"/>
          <w:sz w:val="22"/>
        </w:rPr>
        <w:t xml:space="preserve">Supply Chain Bottleneck = TDG Opportunity: </w:t>
      </w:r>
      <w:r>
        <w:rPr>
          <w:rFonts w:ascii="Calibri" w:hAnsi="Calibri"/>
          <w:color w:val="525866"/>
          <w:sz w:val="22"/>
        </w:rPr>
        <w:t xml:space="preserve">GE noted spare parts delinquency grew 20% sequentially in Q2 due to material availability constraints, despite strong revenue growth. "Nine consecutive quarters with double-digit increases from our critical suppliers." → </w:t>
      </w:r>
      <w:r>
        <w:rPr>
          <w:rFonts w:ascii="Calibri" w:hAnsi="Calibri"/>
          <w:b/>
          <w:color w:val="525866"/>
          <w:sz w:val="22"/>
        </w:rPr>
        <w:t>TDG’s proprietary, sole-source position means it is a beneficiary, not a victim, of supply chain tightness.</w:t>
      </w:r>
    </w:p>
    <w:p>
      <w:pPr>
        <w:pStyle w:val="ListBullet"/>
        <w:ind w:left="360" w:hanging="360"/>
      </w:pPr>
      <w:r>
        <w:rPr>
          <w:rFonts w:ascii="Calibri" w:hAnsi="Calibri"/>
          <w:b/>
          <w:color w:val="525866"/>
          <w:sz w:val="22"/>
        </w:rPr>
        <w:t xml:space="preserve">Air Traffic Resilient: </w:t>
      </w:r>
      <w:r>
        <w:rPr>
          <w:rFonts w:ascii="Calibri" w:hAnsi="Calibri"/>
          <w:color w:val="525866"/>
          <w:sz w:val="22"/>
        </w:rPr>
        <w:t xml:space="preserve">First-half departures roughly flat but "no changes in customer behavior" observed. GE expects "gradual return to modest departures growth in the second half." → </w:t>
      </w:r>
      <w:r>
        <w:rPr>
          <w:rFonts w:ascii="Calibri" w:hAnsi="Calibri"/>
          <w:b/>
          <w:color w:val="525866"/>
          <w:sz w:val="22"/>
        </w:rPr>
        <w:t>Consistent with TDG’s view that Middle East disruption is transitory.</w:t>
      </w:r>
    </w:p>
    <w:p>
      <w:pPr>
        <w:pStyle w:val="Heading2"/>
      </w:pPr>
      <w:r>
        <w:rPr>
          <w:rFonts w:ascii="Calibri" w:hAnsi="Calibri"/>
          <w:b/>
          <w:color w:val="3B4259"/>
          <w:sz w:val="28"/>
        </w:rPr>
        <w:t>HEICO Corporation (HEI) — Q2 FY2026 Earnings (May 28, 2026)</w:t>
      </w:r>
    </w:p>
    <w:p>
      <w:r>
        <w:rPr>
          <w:rFonts w:ascii="Calibri" w:hAnsi="Calibri"/>
          <w:b/>
          <w:color w:val="525866"/>
          <w:sz w:val="22"/>
        </w:rPr>
        <w:t xml:space="preserve">Read-Through: </w:t>
      </w:r>
      <w:r>
        <w:rPr>
          <w:rFonts w:ascii="Calibri" w:hAnsi="Calibri"/>
          <w:color w:val="525866"/>
          <w:sz w:val="22"/>
        </w:rPr>
        <w:t>Positive for TDG’s commercial aftermarket; HEICO’s record results and demand commentary validate the aftermarket cycle, while its PMA business is a competitive consideration for TDG.</w:t>
      </w:r>
    </w:p>
    <w:p>
      <w:pPr>
        <w:pStyle w:val="ListBullet"/>
        <w:ind w:left="360" w:hanging="360"/>
      </w:pPr>
      <w:r>
        <w:rPr>
          <w:rFonts w:ascii="Calibri" w:hAnsi="Calibri"/>
          <w:b/>
          <w:color w:val="525866"/>
          <w:sz w:val="22"/>
        </w:rPr>
        <w:t xml:space="preserve">Record Demand Across the Board: </w:t>
      </w:r>
      <w:r>
        <w:rPr>
          <w:rFonts w:ascii="Calibri" w:hAnsi="Calibri"/>
          <w:color w:val="525866"/>
          <w:sz w:val="22"/>
        </w:rPr>
        <w:t xml:space="preserve">HEICO’s Flight Support Group (FSG) reported record Q2 net sales of $929M (+21% YoY), with 19% organic growth including </w:t>
      </w:r>
      <w:r>
        <w:rPr>
          <w:rFonts w:ascii="Calibri" w:hAnsi="Calibri"/>
          <w:b/>
          <w:color w:val="525866"/>
          <w:sz w:val="22"/>
        </w:rPr>
        <w:t>double-digit organic growth across all product lines</w:t>
      </w:r>
      <w:r>
        <w:rPr>
          <w:rFonts w:ascii="Calibri" w:hAnsi="Calibri"/>
          <w:color w:val="525866"/>
          <w:sz w:val="22"/>
        </w:rPr>
        <w:t xml:space="preserve"> (parts +22%, specialty products +21%, component repair +10%). "Orders continue at record or near record levels for us in nearly all of these markets." → </w:t>
      </w:r>
      <w:r>
        <w:rPr>
          <w:rFonts w:ascii="Calibri" w:hAnsi="Calibri"/>
          <w:b/>
          <w:color w:val="525866"/>
          <w:sz w:val="22"/>
        </w:rPr>
        <w:t>Validates TDG’s Q2 CAM all-time high bookings and supports continued strength in Q3.</w:t>
      </w:r>
    </w:p>
    <w:p>
      <w:pPr>
        <w:pStyle w:val="ListBullet"/>
        <w:ind w:left="360" w:hanging="360"/>
      </w:pPr>
      <w:r>
        <w:rPr>
          <w:rFonts w:ascii="Calibri" w:hAnsi="Calibri"/>
          <w:b/>
          <w:color w:val="525866"/>
          <w:sz w:val="22"/>
        </w:rPr>
        <w:t xml:space="preserve">Middle East Impact Manageable: </w:t>
      </w:r>
      <w:r>
        <w:rPr>
          <w:rFonts w:ascii="Calibri" w:hAnsi="Calibri"/>
          <w:color w:val="525866"/>
          <w:sz w:val="22"/>
        </w:rPr>
        <w:t xml:space="preserve">HEICO noted the Middle East represents a "relatively small" percentage of total sales and that demand has been "well overcome elsewhere" by European, North American, and Asian carriers. "Short-term disruptions are, by definition, always brief." → </w:t>
      </w:r>
      <w:r>
        <w:rPr>
          <w:rFonts w:ascii="Calibri" w:hAnsi="Calibri"/>
          <w:b/>
          <w:color w:val="525866"/>
          <w:sz w:val="22"/>
        </w:rPr>
        <w:t>Corroborates TDG management’s measured tone on Middle East risk.</w:t>
      </w:r>
    </w:p>
    <w:p>
      <w:pPr>
        <w:pStyle w:val="ListBullet"/>
        <w:ind w:left="360" w:hanging="360"/>
      </w:pPr>
      <w:r>
        <w:rPr>
          <w:rFonts w:ascii="Calibri" w:hAnsi="Calibri"/>
          <w:b/>
          <w:color w:val="525866"/>
          <w:sz w:val="22"/>
        </w:rPr>
        <w:t xml:space="preserve">Defense Demand Very Strong: </w:t>
      </w:r>
      <w:r>
        <w:rPr>
          <w:rFonts w:ascii="Calibri" w:hAnsi="Calibri"/>
          <w:color w:val="525866"/>
          <w:sz w:val="22"/>
        </w:rPr>
        <w:t xml:space="preserve">Defense bookings "incredibly strong" with customers asking how to "6x, 4x, 10x" production of certain components. Defense sales ~30% of total, with a "multiyear tail" expected. → </w:t>
      </w:r>
      <w:r>
        <w:rPr>
          <w:rFonts w:ascii="Calibri" w:hAnsi="Calibri"/>
          <w:b/>
          <w:color w:val="525866"/>
          <w:sz w:val="22"/>
        </w:rPr>
        <w:t>Positive read-through for TDG’s defense channel.</w:t>
      </w:r>
    </w:p>
    <w:p>
      <w:pPr>
        <w:pStyle w:val="ListBullet"/>
        <w:ind w:left="360" w:hanging="360"/>
      </w:pPr>
      <w:r>
        <w:rPr>
          <w:rFonts w:ascii="Calibri" w:hAnsi="Calibri"/>
          <w:b/>
          <w:color w:val="525866"/>
          <w:sz w:val="22"/>
        </w:rPr>
        <w:t xml:space="preserve">PMA Competitive Consideration: </w:t>
      </w:r>
      <w:r>
        <w:rPr>
          <w:rFonts w:ascii="Calibri" w:hAnsi="Calibri"/>
          <w:color w:val="525866"/>
          <w:sz w:val="22"/>
        </w:rPr>
        <w:t xml:space="preserve">HEICO introduces ~500 PMA parts annually and noted customers are "clamoring for more parts" and seeking "high-quality short turn times at better prices." TDG’s own PMA acquisition strategy (Jet Parts Engineering) is a direct response. → </w:t>
      </w:r>
      <w:r>
        <w:rPr>
          <w:rFonts w:ascii="Calibri" w:hAnsi="Calibri"/>
          <w:b/>
          <w:color w:val="525866"/>
          <w:sz w:val="22"/>
        </w:rPr>
        <w:t>Competitive dynamic to monitor, but TDG’s proprietary content (~90% of sales) limits direct exposure.</w:t>
      </w:r>
    </w:p>
    <w:p>
      <w:pPr>
        <w:pStyle w:val="Heading2"/>
      </w:pPr>
      <w:r>
        <w:rPr>
          <w:rFonts w:ascii="Calibri" w:hAnsi="Calibri"/>
          <w:b/>
          <w:color w:val="3B4259"/>
          <w:sz w:val="28"/>
        </w:rPr>
        <w:t>Howmet Aerospace (HWM) — Q1 FY2026 Earnings (May 7, 2026)</w:t>
      </w:r>
    </w:p>
    <w:p>
      <w:r>
        <w:rPr>
          <w:rFonts w:ascii="Calibri" w:hAnsi="Calibri"/>
          <w:b/>
          <w:color w:val="525866"/>
          <w:sz w:val="22"/>
        </w:rPr>
        <w:t xml:space="preserve">Read-Through: </w:t>
      </w:r>
      <w:r>
        <w:rPr>
          <w:rFonts w:ascii="Calibri" w:hAnsi="Calibri"/>
          <w:color w:val="525866"/>
          <w:sz w:val="22"/>
        </w:rPr>
        <w:t>Positive for TDG’s engine aftermarket and OEM channels; Howmet’s engine spares commentary is the most direct read-through for TDG’s engine-content products.</w:t>
      </w:r>
    </w:p>
    <w:p>
      <w:pPr>
        <w:pStyle w:val="ListBullet"/>
        <w:ind w:left="360" w:hanging="360"/>
      </w:pPr>
      <w:r>
        <w:rPr>
          <w:rFonts w:ascii="Calibri" w:hAnsi="Calibri"/>
          <w:b/>
          <w:color w:val="525866"/>
          <w:sz w:val="22"/>
        </w:rPr>
        <w:t xml:space="preserve">Engine Spares Surge: </w:t>
      </w:r>
      <w:r>
        <w:rPr>
          <w:rFonts w:ascii="Calibri" w:hAnsi="Calibri"/>
          <w:color w:val="525866"/>
          <w:sz w:val="22"/>
        </w:rPr>
        <w:t xml:space="preserve">Commercial Aerospace engine spares up </w:t>
      </w:r>
      <w:r>
        <w:rPr>
          <w:rFonts w:ascii="Calibri" w:hAnsi="Calibri"/>
          <w:b/>
          <w:color w:val="525866"/>
          <w:sz w:val="22"/>
        </w:rPr>
        <w:t>48% in Q1 2026</w:t>
      </w:r>
      <w:r>
        <w:rPr>
          <w:rFonts w:ascii="Calibri" w:hAnsi="Calibri"/>
          <w:color w:val="525866"/>
          <w:sz w:val="22"/>
        </w:rPr>
        <w:t xml:space="preserve"> (both legacy and next-gen). Combined Commercial Aerospace, Defense Aerospace, and Gas Turbine spares up 36% to ~$520M. Spares now 23% of revenue (vs. 11% in 2019). "The outlook for spares continues to be strong as MRO slots are also backlogged." → </w:t>
      </w:r>
      <w:r>
        <w:rPr>
          <w:rFonts w:ascii="Calibri" w:hAnsi="Calibri"/>
          <w:b/>
          <w:color w:val="525866"/>
          <w:sz w:val="22"/>
        </w:rPr>
        <w:t>Directly validates TDG’s engine-content aftermarket growth trajectory and supports the high end of CAM guidance.</w:t>
      </w:r>
    </w:p>
    <w:p>
      <w:pPr>
        <w:pStyle w:val="ListBullet"/>
        <w:ind w:left="360" w:hanging="360"/>
      </w:pPr>
      <w:r>
        <w:rPr>
          <w:rFonts w:ascii="Calibri" w:hAnsi="Calibri"/>
          <w:b/>
          <w:color w:val="525866"/>
          <w:sz w:val="22"/>
        </w:rPr>
        <w:t xml:space="preserve">Multi-Year Spares Growth Runway: </w:t>
      </w:r>
      <w:r>
        <w:rPr>
          <w:rFonts w:ascii="Calibri" w:hAnsi="Calibri"/>
          <w:color w:val="525866"/>
          <w:sz w:val="22"/>
        </w:rPr>
        <w:t xml:space="preserve">Howmet expects commercial aero spares growth "every year for the balance of this decade and beyond." Leap spares projected to grow at a ~25% CAGR through 2030. CFM56 spares expected to grow through 2026–2027. → </w:t>
      </w:r>
      <w:r>
        <w:rPr>
          <w:rFonts w:ascii="Calibri" w:hAnsi="Calibri"/>
          <w:b/>
          <w:color w:val="525866"/>
          <w:sz w:val="22"/>
        </w:rPr>
        <w:t>Structural tailwind for TDG’s aftermarket business, not a cyclical peak.</w:t>
      </w:r>
    </w:p>
    <w:p>
      <w:pPr>
        <w:pStyle w:val="ListBullet"/>
        <w:ind w:left="360" w:hanging="360"/>
      </w:pPr>
      <w:r>
        <w:rPr>
          <w:rFonts w:ascii="Calibri" w:hAnsi="Calibri"/>
          <w:b/>
          <w:color w:val="525866"/>
          <w:sz w:val="22"/>
        </w:rPr>
        <w:t xml:space="preserve">OEM Production Rates Increasing: </w:t>
      </w:r>
      <w:r>
        <w:rPr>
          <w:rFonts w:ascii="Calibri" w:hAnsi="Calibri"/>
          <w:color w:val="525866"/>
          <w:sz w:val="22"/>
        </w:rPr>
        <w:t xml:space="preserve">Boeing 737 at average 42/month for 2026 (ramping to 47); 787 at 7/month rising to 8 by Q4; Airbus A320 at 62/month. "Both narrow-body and wide-body aircraft build rates are planned to increase throughout the year." → </w:t>
      </w:r>
      <w:r>
        <w:rPr>
          <w:rFonts w:ascii="Calibri" w:hAnsi="Calibri"/>
          <w:b/>
          <w:color w:val="525866"/>
          <w:sz w:val="22"/>
        </w:rPr>
        <w:t>Supports TDG’s commercial OEM bookings running ahead of shipments.</w:t>
      </w:r>
    </w:p>
    <w:p>
      <w:pPr>
        <w:pStyle w:val="ListBullet"/>
        <w:ind w:left="360" w:hanging="360"/>
      </w:pPr>
      <w:r>
        <w:rPr>
          <w:rFonts w:ascii="Calibri" w:hAnsi="Calibri"/>
          <w:b/>
          <w:color w:val="525866"/>
          <w:sz w:val="22"/>
        </w:rPr>
        <w:t xml:space="preserve">Middle East Acknowledged, Not Alarming: </w:t>
      </w:r>
      <w:r>
        <w:rPr>
          <w:rFonts w:ascii="Calibri" w:hAnsi="Calibri"/>
          <w:color w:val="525866"/>
          <w:sz w:val="22"/>
        </w:rPr>
        <w:t xml:space="preserve">Howmet noted "there may be an effect to be felt from the Iranian conflict" on MRO slots but maintained full-year guidance with commercial aero growth in the ~20% range. Airline traffic "held up well through April." → </w:t>
      </w:r>
      <w:r>
        <w:rPr>
          <w:rFonts w:ascii="Calibri" w:hAnsi="Calibri"/>
          <w:b/>
          <w:color w:val="525866"/>
          <w:sz w:val="22"/>
        </w:rPr>
        <w:t>Consistent with TDG’s cautious-but-not-alarmed tone.</w:t>
      </w:r>
    </w:p>
    <w:p>
      <w:pPr>
        <w:pStyle w:val="ListBullet"/>
        <w:ind w:left="360" w:hanging="360"/>
      </w:pPr>
      <w:r>
        <w:rPr>
          <w:rFonts w:ascii="Calibri" w:hAnsi="Calibri"/>
          <w:b/>
          <w:color w:val="525866"/>
          <w:sz w:val="22"/>
        </w:rPr>
        <w:t xml:space="preserve">Full-Year Guidance Raised: </w:t>
      </w:r>
      <w:r>
        <w:rPr>
          <w:rFonts w:ascii="Calibri" w:hAnsi="Calibri"/>
          <w:color w:val="525866"/>
          <w:sz w:val="22"/>
        </w:rPr>
        <w:t xml:space="preserve">Howmet raised FY2026 revenue guidance to $9.65B (+14% organic, ex-M&amp;A), EBITDA to $3.06B, EPS to $4.94. Q1 results were above the high end of guidance on all metrics. → </w:t>
      </w:r>
      <w:r>
        <w:rPr>
          <w:rFonts w:ascii="Calibri" w:hAnsi="Calibri"/>
          <w:b/>
          <w:color w:val="525866"/>
          <w:sz w:val="22"/>
        </w:rPr>
        <w:t>Broad aerospace supplier outperformance is a positive read-through for TDG’s own guidance trajectory.</w:t>
      </w:r>
    </w:p>
    <w:p>
      <w:pPr>
        <w:pStyle w:val="Heading2"/>
      </w:pPr>
      <w:r>
        <w:rPr>
          <w:rFonts w:ascii="Calibri" w:hAnsi="Calibri"/>
          <w:b/>
          <w:color w:val="3B4259"/>
          <w:sz w:val="28"/>
        </w:rPr>
        <w:t>Boeing (BA) — Q2 2026 Earnings (July 28, 2026)</w:t>
      </w:r>
    </w:p>
    <w:p>
      <w:r>
        <w:rPr>
          <w:rFonts w:ascii="Calibri" w:hAnsi="Calibri"/>
          <w:b/>
          <w:color w:val="525866"/>
          <w:sz w:val="22"/>
        </w:rPr>
        <w:t xml:space="preserve">Read-Through: </w:t>
      </w:r>
      <w:r>
        <w:rPr>
          <w:rFonts w:ascii="Calibri" w:hAnsi="Calibri"/>
          <w:color w:val="525866"/>
          <w:sz w:val="22"/>
        </w:rPr>
        <w:t>Mixed but net positive for TDG’s commercial OEM channel; production ramp is real but supply chain constraints at higher rates are a watch item.</w:t>
      </w:r>
    </w:p>
    <w:p>
      <w:pPr>
        <w:pStyle w:val="ListBullet"/>
        <w:ind w:left="360" w:hanging="360"/>
      </w:pPr>
      <w:r>
        <w:rPr>
          <w:rFonts w:ascii="Calibri" w:hAnsi="Calibri"/>
          <w:b/>
          <w:color w:val="525866"/>
          <w:sz w:val="22"/>
        </w:rPr>
        <w:t xml:space="preserve">Production Ramp Confirmed: </w:t>
      </w:r>
      <w:r>
        <w:rPr>
          <w:rFonts w:ascii="Calibri" w:hAnsi="Calibri"/>
          <w:color w:val="525866"/>
          <w:sz w:val="22"/>
        </w:rPr>
        <w:t xml:space="preserve">Boeing delivered 171 aircraft in Q2 2026, the </w:t>
      </w:r>
      <w:r>
        <w:rPr>
          <w:rFonts w:ascii="Calibri" w:hAnsi="Calibri"/>
          <w:b/>
          <w:color w:val="525866"/>
          <w:sz w:val="22"/>
        </w:rPr>
        <w:t>highest quarterly total since 2018</w:t>
      </w:r>
      <w:r>
        <w:rPr>
          <w:rFonts w:ascii="Calibri" w:hAnsi="Calibri"/>
          <w:color w:val="525866"/>
          <w:sz w:val="22"/>
        </w:rPr>
        <w:t xml:space="preserve">. 737 ramping to 47/month (factory rollouts this summer); 787 stabilized at 8/month. "Our teams are increasing production and delivering at levels we have not seen since 2018." → </w:t>
      </w:r>
      <w:r>
        <w:rPr>
          <w:rFonts w:ascii="Calibri" w:hAnsi="Calibri"/>
          <w:b/>
          <w:color w:val="525866"/>
          <w:sz w:val="22"/>
        </w:rPr>
        <w:t>Directly supports TDG’s commercial OEM bookings running well ahead of shipments.</w:t>
      </w:r>
    </w:p>
    <w:p>
      <w:pPr>
        <w:pStyle w:val="ListBullet"/>
        <w:ind w:left="360" w:hanging="360"/>
      </w:pPr>
      <w:r>
        <w:rPr>
          <w:rFonts w:ascii="Calibri" w:hAnsi="Calibri"/>
          <w:b/>
          <w:color w:val="525866"/>
          <w:sz w:val="22"/>
        </w:rPr>
        <w:t xml:space="preserve">Aftermarket Robust, No Middle East Impact: </w:t>
      </w:r>
      <w:r>
        <w:rPr>
          <w:rFonts w:ascii="Calibri" w:hAnsi="Calibri"/>
          <w:color w:val="525866"/>
          <w:sz w:val="22"/>
        </w:rPr>
        <w:t xml:space="preserve">Boeing Global Services revenue up 8% ex-divestiture; "robust aftermarket" with no "material impact in the commercial service business from the conflict in the Middle East." BGS backlog at $33B. → </w:t>
      </w:r>
      <w:r>
        <w:rPr>
          <w:rFonts w:ascii="Calibri" w:hAnsi="Calibri"/>
          <w:b/>
          <w:color w:val="525866"/>
          <w:sz w:val="22"/>
        </w:rPr>
        <w:t>Corroborates TDG’s CAM resilience narrative.</w:t>
      </w:r>
    </w:p>
    <w:p>
      <w:pPr>
        <w:pStyle w:val="ListBullet"/>
        <w:ind w:left="360" w:hanging="360"/>
      </w:pPr>
      <w:r>
        <w:rPr>
          <w:rFonts w:ascii="Calibri" w:hAnsi="Calibri"/>
          <w:b/>
          <w:color w:val="525866"/>
          <w:sz w:val="22"/>
        </w:rPr>
        <w:t xml:space="preserve">Supply Chain Watch Item at Higher Rates: </w:t>
      </w:r>
      <w:r>
        <w:rPr>
          <w:rFonts w:ascii="Calibri" w:hAnsi="Calibri"/>
          <w:color w:val="525866"/>
          <w:sz w:val="22"/>
        </w:rPr>
        <w:t xml:space="preserve">Boeing noted supply chain will need to "perform quite well" from 52 to 57 aircraft/month, and "it’s going to get harder" beyond 52. Temporarily slowed 787 production in April to allow supply chain recovery. → </w:t>
      </w:r>
      <w:r>
        <w:rPr>
          <w:rFonts w:ascii="Calibri" w:hAnsi="Calibri"/>
          <w:b/>
          <w:color w:val="525866"/>
          <w:sz w:val="22"/>
        </w:rPr>
        <w:t>A potential constraint on TDG’s commercial OEM upside at the very high end of the rate range, though current rates (47/month) are well within supply chain capacity.</w:t>
      </w:r>
    </w:p>
    <w:p>
      <w:pPr>
        <w:pStyle w:val="ListBullet"/>
        <w:ind w:left="360" w:hanging="360"/>
      </w:pPr>
      <w:r>
        <w:rPr>
          <w:rFonts w:ascii="Calibri" w:hAnsi="Calibri"/>
          <w:b/>
          <w:color w:val="525866"/>
          <w:sz w:val="22"/>
        </w:rPr>
        <w:t xml:space="preserve">Defense Demand Strong: </w:t>
      </w:r>
      <w:r>
        <w:rPr>
          <w:rFonts w:ascii="Calibri" w:hAnsi="Calibri"/>
          <w:color w:val="525866"/>
          <w:sz w:val="22"/>
        </w:rPr>
        <w:t xml:space="preserve">BDS revenue up 13% to $7.5B; demand signal on defense products "very strong" with "notable increased demand in missiles and munitions." BDS backlog at $85B. → </w:t>
      </w:r>
      <w:r>
        <w:rPr>
          <w:rFonts w:ascii="Calibri" w:hAnsi="Calibri"/>
          <w:b/>
          <w:color w:val="525866"/>
          <w:sz w:val="22"/>
        </w:rPr>
        <w:t>Positive read-through for TDG’s defense channel.</w:t>
      </w:r>
    </w:p>
    <w:p>
      <w:pPr>
        <w:pStyle w:val="Heading2"/>
      </w:pPr>
      <w:r>
        <w:rPr>
          <w:rFonts w:ascii="Calibri" w:hAnsi="Calibri"/>
          <w:b/>
          <w:color w:val="3B4259"/>
          <w:sz w:val="28"/>
        </w:rPr>
        <w:t>L3Harris Technologies (LHX) — Q2 2026 Earnings (July 29, 2026)</w:t>
      </w:r>
    </w:p>
    <w:p>
      <w:r>
        <w:rPr>
          <w:rFonts w:ascii="Calibri" w:hAnsi="Calibri"/>
          <w:b/>
          <w:color w:val="525866"/>
          <w:sz w:val="22"/>
        </w:rPr>
        <w:t xml:space="preserve">Read-Through: </w:t>
      </w:r>
      <w:r>
        <w:rPr>
          <w:rFonts w:ascii="Calibri" w:hAnsi="Calibri"/>
          <w:color w:val="525866"/>
          <w:sz w:val="22"/>
        </w:rPr>
        <w:t>Positive for TDG’s defense channel; LHX’s missile business ramp and supply chain investment signal sustained multi-year defense demand.</w:t>
      </w:r>
    </w:p>
    <w:p>
      <w:pPr>
        <w:pStyle w:val="ListBullet"/>
        <w:ind w:left="360" w:hanging="360"/>
      </w:pPr>
      <w:r>
        <w:rPr>
          <w:rFonts w:ascii="Calibri" w:hAnsi="Calibri"/>
          <w:b/>
          <w:color w:val="525866"/>
          <w:sz w:val="22"/>
        </w:rPr>
        <w:t xml:space="preserve">Defense Budget Tailwinds Accelerating: </w:t>
      </w:r>
      <w:r>
        <w:rPr>
          <w:rFonts w:ascii="Calibri" w:hAnsi="Calibri"/>
          <w:color w:val="525866"/>
          <w:sz w:val="22"/>
        </w:rPr>
        <w:t xml:space="preserve">LHX expects "the highest defense budget in our country’s history" with a supplemental budget for multi-year munitions contracts. Bipartisan support confirmed. Orders of $7.3B in Q2 (book-to-bill 1.2x); trailing 12-month book-to-bill 1.3x. → </w:t>
      </w:r>
      <w:r>
        <w:rPr>
          <w:rFonts w:ascii="Calibri" w:hAnsi="Calibri"/>
          <w:b/>
          <w:color w:val="525866"/>
          <w:sz w:val="22"/>
        </w:rPr>
        <w:t>Sustained defense budget growth is a multi-year tailwind for TDG’s defense channel.</w:t>
      </w:r>
    </w:p>
    <w:p>
      <w:pPr>
        <w:pStyle w:val="ListBullet"/>
        <w:ind w:left="360" w:hanging="360"/>
      </w:pPr>
      <w:r>
        <w:rPr>
          <w:rFonts w:ascii="Calibri" w:hAnsi="Calibri"/>
          <w:b/>
          <w:color w:val="525866"/>
          <w:sz w:val="22"/>
        </w:rPr>
        <w:t xml:space="preserve">Missile Supply Chain Investment = TDG Opportunity: </w:t>
      </w:r>
      <w:r>
        <w:rPr>
          <w:rFonts w:ascii="Calibri" w:hAnsi="Calibri"/>
          <w:color w:val="525866"/>
          <w:sz w:val="22"/>
        </w:rPr>
        <w:t xml:space="preserve">LHX committed $2B to missile capacity (facilities, equipment, supply chain). Actively negotiating &gt;$20B in new contracts. Signed 7-year THAAD/PAC-3 framework agreement (~$12B future revenue). "The biggest part of this is going to be the multi-year nature on some of these framework agreements." → </w:t>
      </w:r>
      <w:r>
        <w:rPr>
          <w:rFonts w:ascii="Calibri" w:hAnsi="Calibri"/>
          <w:b/>
          <w:color w:val="525866"/>
          <w:sz w:val="22"/>
        </w:rPr>
        <w:t>TDG’s proprietary defense components (attitude control motors, lethality enhancers) are directly in the demand path.</w:t>
      </w:r>
    </w:p>
    <w:p>
      <w:pPr>
        <w:pStyle w:val="ListBullet"/>
        <w:ind w:left="360" w:hanging="360"/>
      </w:pPr>
      <w:r>
        <w:rPr>
          <w:rFonts w:ascii="Calibri" w:hAnsi="Calibri"/>
          <w:b/>
          <w:color w:val="525866"/>
          <w:sz w:val="22"/>
        </w:rPr>
        <w:t xml:space="preserve">Revenue Growth Raised: </w:t>
      </w:r>
      <w:r>
        <w:rPr>
          <w:rFonts w:ascii="Calibri" w:hAnsi="Calibri"/>
          <w:color w:val="525866"/>
          <w:sz w:val="22"/>
        </w:rPr>
        <w:t xml:space="preserve">LHX raised full-year revenue guidance to $23.2–$23.7B (organic growth 8–10%) and EPS to $11.80–$12.00. Missile Solutions delivered 14% YoY revenue growth. → </w:t>
      </w:r>
      <w:r>
        <w:rPr>
          <w:rFonts w:ascii="Calibri" w:hAnsi="Calibri"/>
          <w:b/>
          <w:color w:val="525866"/>
          <w:sz w:val="22"/>
        </w:rPr>
        <w:t>Broad defense outperformance is a positive read-through for TDG’s defense bookings and backlog.</w:t>
      </w:r>
    </w:p>
    <w:p>
      <w:r>
        <w:rPr>
          <w:rFonts w:ascii="Calibri" w:hAnsi="Calibri"/>
          <w:b/>
          <w:color w:val="525866"/>
          <w:sz w:val="22"/>
        </w:rPr>
        <w:t xml:space="preserve">Overall Peer Read-Through Summary: </w:t>
      </w:r>
      <w:r>
        <w:rPr>
          <w:rFonts w:ascii="Calibri" w:hAnsi="Calibri"/>
          <w:color w:val="525866"/>
          <w:sz w:val="22"/>
        </w:rPr>
        <w:t xml:space="preserve">The weight of peer evidence is </w:t>
      </w:r>
      <w:r>
        <w:rPr>
          <w:rFonts w:ascii="Calibri" w:hAnsi="Calibri"/>
          <w:b/>
          <w:color w:val="525866"/>
          <w:sz w:val="22"/>
        </w:rPr>
        <w:t>constructive to bullish</w:t>
      </w:r>
      <w:r>
        <w:rPr>
          <w:rFonts w:ascii="Calibri" w:hAnsi="Calibri"/>
          <w:color w:val="525866"/>
          <w:sz w:val="22"/>
        </w:rPr>
        <w:t xml:space="preserve"> for TDG’s Q3 FY2026 print. Commercial aftermarket demand is accelerating (not decelerating) across RTX, GE, and HEICO; OEM production rates are ramping as expected; defense bookings are at record levels; and the Middle East disruption is being characterized as transitory by every peer. The only watch item is supply chain constraints at very high OEM production rates (Boeing commentary), which is a 2027+ issue rather than a Q3 FY2026 risk.</w:t>
      </w:r>
    </w:p>
    <w:p>
      <w:r>
        <w:br w:type="page"/>
      </w:r>
    </w:p>
    <w:p>
      <w:pPr>
        <w:pStyle w:val="Heading1"/>
        <w:pBdr>
          <w:bottom w:val="single" w:sz="4" w:space="1" w:color="FB9120"/>
        </w:pBdr>
      </w:pPr>
      <w:r>
        <w:rPr>
          <w:rFonts w:ascii="Calibri" w:hAnsi="Calibri"/>
          <w:b/>
          <w:color w:val="3B4259"/>
          <w:sz w:val="40"/>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post-Q2 development is the </w:t>
      </w:r>
      <w:r>
        <w:rPr>
          <w:rFonts w:ascii="Calibri" w:hAnsi="Calibri"/>
          <w:b/>
          <w:color w:val="525866"/>
          <w:sz w:val="22"/>
        </w:rPr>
        <w:t>Stellant withdrawal (July 13)</w:t>
      </w:r>
      <w:r>
        <w:rPr>
          <w:rFonts w:ascii="Calibri" w:hAnsi="Calibri"/>
          <w:color w:val="525866"/>
          <w:sz w:val="22"/>
        </w:rPr>
        <w:t xml:space="preserve"> — while initially a negative signal, it freed capital that was quickly redeployed into the Prince &amp; Izant acquisition (July 27), demonstrating continued M&amp;A discipline and pipeline depth. The net effect is capital allocation optionality, not a strategic setback.</w:t>
      </w:r>
    </w:p>
    <w:p>
      <w:pPr>
        <w:pStyle w:val="ListBullet"/>
        <w:ind w:left="360" w:hanging="360"/>
      </w:pPr>
      <w:r>
        <w:rPr>
          <w:rFonts w:ascii="Calibri" w:hAnsi="Calibri"/>
          <w:b/>
          <w:color w:val="525866"/>
          <w:sz w:val="22"/>
        </w:rPr>
        <w:t xml:space="preserve">July 27, 2026 — Prince &amp; Izant Acquisition Announced ($1.066B): </w:t>
      </w:r>
      <w:r>
        <w:rPr>
          <w:rFonts w:ascii="Calibri" w:hAnsi="Calibri"/>
          <w:color w:val="525866"/>
          <w:sz w:val="22"/>
        </w:rPr>
        <w:t xml:space="preserve">TDG entered a definitive agreement to acquire Prince &amp; Izant (P&amp;I), a portfolio company of Industrial Growth Partners, for ~$1.066B in cash (including tax benefits). P&amp;I is a leading global designer and manufacturer of highly engineered brazing alloys and specialty metal components for aerospace &amp; defense, aeroderivative turbine, and transportation end markets. P&amp;I derives the majority of its revenue from the aftermarket, has ~10,000 active SKUs, and is expected to generate ~$360M in revenue for CY2026. CEO Mike Lisman: "highly engineered, custom, proprietary products... attributes that align well with TransDigm’s acquisition criteria." </w:t>
      </w:r>
      <w:r>
        <w:rPr>
          <w:rFonts w:ascii="Calibri" w:hAnsi="Calibri"/>
          <w:b/>
          <w:color w:val="525866"/>
          <w:sz w:val="22"/>
        </w:rPr>
        <w:t>Implication: Consistent with TDG’s disciplined M&amp;A playbook (20% IRR targets, proprietary aftermarket content); adds ~$360M revenue and maintains leverage within target range.</w:t>
      </w:r>
    </w:p>
    <w:p>
      <w:pPr>
        <w:pStyle w:val="ListBullet"/>
        <w:ind w:left="360" w:hanging="360"/>
      </w:pPr>
      <w:r>
        <w:rPr>
          <w:rFonts w:ascii="Calibri" w:hAnsi="Calibri"/>
          <w:b/>
          <w:color w:val="525866"/>
          <w:sz w:val="22"/>
        </w:rPr>
        <w:t xml:space="preserve">July 24, 2026 — Q3 FY2026 Earnings Scheduled for August 4, 2026: </w:t>
      </w:r>
      <w:r>
        <w:rPr>
          <w:rFonts w:ascii="Calibri" w:hAnsi="Calibri"/>
          <w:color w:val="525866"/>
          <w:sz w:val="22"/>
        </w:rPr>
        <w:t xml:space="preserve">TDG confirmed Q3 FY2026 earnings report and conference call for August 4, 2026. </w:t>
      </w:r>
      <w:r>
        <w:rPr>
          <w:rFonts w:ascii="Calibri" w:hAnsi="Calibri"/>
          <w:b/>
          <w:color w:val="525866"/>
          <w:sz w:val="22"/>
        </w:rPr>
        <w:t>Implication: No pre-announcement or guidance update issued alongside the scheduling notice — no negative pre-announcement risk.</w:t>
      </w:r>
    </w:p>
    <w:p>
      <w:pPr>
        <w:pStyle w:val="ListBullet"/>
        <w:ind w:left="360" w:hanging="360"/>
      </w:pPr>
      <w:r>
        <w:rPr>
          <w:rFonts w:ascii="Calibri" w:hAnsi="Calibri"/>
          <w:b/>
          <w:color w:val="525866"/>
          <w:sz w:val="22"/>
        </w:rPr>
        <w:t xml:space="preserve">July 24, 2026 — Stellex Capital’s Krasik Added to Board (8-K): </w:t>
      </w:r>
      <w:r>
        <w:rPr>
          <w:rFonts w:ascii="Calibri" w:hAnsi="Calibri"/>
          <w:color w:val="525866"/>
          <w:sz w:val="22"/>
        </w:rPr>
        <w:t xml:space="preserve">TDG added a new board member from Stellex Capital. </w:t>
      </w:r>
      <w:r>
        <w:rPr>
          <w:rFonts w:ascii="Calibri" w:hAnsi="Calibri"/>
          <w:b/>
          <w:color w:val="525866"/>
          <w:sz w:val="22"/>
        </w:rPr>
        <w:t>Implication: Governance development; Stellex is a private equity firm with aerospace/defense expertise, potentially signaling continued M&amp;A pipeline engagement.</w:t>
      </w:r>
    </w:p>
    <w:p>
      <w:pPr>
        <w:pStyle w:val="ListBullet"/>
        <w:ind w:left="360" w:hanging="360"/>
      </w:pPr>
      <w:r>
        <w:rPr>
          <w:rFonts w:ascii="Calibri" w:hAnsi="Calibri"/>
          <w:b/>
          <w:color w:val="525866"/>
          <w:sz w:val="22"/>
        </w:rPr>
        <w:t xml:space="preserve">July 13, 2026 — Stellant Systems Acquisition Withdrawn (8-K): </w:t>
      </w:r>
      <w:r>
        <w:rPr>
          <w:rFonts w:ascii="Calibri" w:hAnsi="Calibri"/>
          <w:color w:val="525866"/>
          <w:sz w:val="22"/>
        </w:rPr>
        <w:t xml:space="preserve">TDG withdrew from its proposed acquisition of Stellant Systems from Arlington Capital Partners, citing regulatory review uncertainty, time constraints, and opportunity cost. "Withdrawing from the proposed acquisition represented the most prudent allocation of its capital and management resources." The seller subsequently terminated the transaction agreement. </w:t>
      </w:r>
      <w:r>
        <w:rPr>
          <w:rFonts w:ascii="Calibri" w:hAnsi="Calibri"/>
          <w:b/>
          <w:color w:val="525866"/>
          <w:sz w:val="22"/>
        </w:rPr>
        <w:t>Implication: Initial negative signal (stock fell ~5% over the following week), but capital was quickly redeployed into Prince &amp; Izant. TDG remains committed to its disciplined acquisition strategy.</w:t>
      </w:r>
    </w:p>
    <w:p>
      <w:pPr>
        <w:pStyle w:val="ListBullet"/>
        <w:ind w:left="360" w:hanging="360"/>
      </w:pPr>
      <w:r>
        <w:rPr>
          <w:rFonts w:ascii="Calibri" w:hAnsi="Calibri"/>
          <w:b/>
          <w:color w:val="525866"/>
          <w:sz w:val="22"/>
        </w:rPr>
        <w:t xml:space="preserve">May 5, 2026 — Q2 FY2026 Earnings Beat &amp; Guidance Raise: </w:t>
      </w:r>
      <w:r>
        <w:rPr>
          <w:rFonts w:ascii="Calibri" w:hAnsi="Calibri"/>
          <w:color w:val="525866"/>
          <w:sz w:val="22"/>
        </w:rPr>
        <w:t xml:space="preserve">TDG reported Q2 FY2026 results well ahead of consensus on both revenue ($2,544M vs. ~$2,467M est.) and EBITDA As Defined ($1,337M vs. ~$1,297M est.). Full-year guidance raised materially: revenue midpoint +$420M to $10.36B, EBITDA +$210M to $5.42B, EPS to $39.52, FCF to ~$2.5B. Commercial aftermarket bookings described as an all-time high. Distributor destocking headwind largely resolved. </w:t>
      </w:r>
      <w:r>
        <w:rPr>
          <w:rFonts w:ascii="Calibri" w:hAnsi="Calibri"/>
          <w:b/>
          <w:color w:val="525866"/>
          <w:sz w:val="22"/>
        </w:rPr>
        <w:t>Implication: The baseline for Q3 is a company executing at the high end of its historical range.</w:t>
      </w:r>
    </w:p>
    <w:p>
      <w:pPr>
        <w:pStyle w:val="ListBullet"/>
        <w:ind w:left="360" w:hanging="360"/>
      </w:pPr>
      <w:r>
        <w:rPr>
          <w:rFonts w:ascii="Calibri" w:hAnsi="Calibri"/>
          <w:b/>
          <w:color w:val="525866"/>
          <w:sz w:val="22"/>
        </w:rPr>
        <w:t xml:space="preserve">Post-Q2 — Jet Parts Engineering &amp; Victor Sierra Acquisitions Closed: </w:t>
      </w:r>
      <w:r>
        <w:rPr>
          <w:rFonts w:ascii="Calibri" w:hAnsi="Calibri"/>
          <w:color w:val="525866"/>
          <w:sz w:val="22"/>
        </w:rPr>
        <w:t xml:space="preserve">Both acquisitions (announced at Q2 earnings) closed post-quarter, funded by debt raised during Q2. These are PMA-focused businesses consistent with TDG’s strategy of acquiring proprietary aftermarket content. </w:t>
      </w:r>
      <w:r>
        <w:rPr>
          <w:rFonts w:ascii="Calibri" w:hAnsi="Calibri"/>
          <w:b/>
          <w:color w:val="525866"/>
          <w:sz w:val="22"/>
        </w:rPr>
        <w:t>Implication: Modest acquisition dilution (~200 bps on EBITDA margin) already embedded in Q3 consensus estimates.</w:t>
      </w:r>
    </w:p>
    <w:p>
      <w:pPr>
        <w:pStyle w:val="ListBullet"/>
        <w:ind w:left="360" w:hanging="360"/>
      </w:pPr>
      <w:r>
        <w:rPr>
          <w:rFonts w:ascii="Calibri" w:hAnsi="Calibri"/>
          <w:b/>
          <w:color w:val="525866"/>
          <w:sz w:val="22"/>
        </w:rPr>
        <w:t xml:space="preserve">Post-Q2 — Internal Promotions: Eric Hilliard (EVP, M&amp;A) &amp; Mike Carty (EVP, Operations): </w:t>
      </w:r>
      <w:r>
        <w:rPr>
          <w:rFonts w:ascii="Calibri" w:hAnsi="Calibri"/>
          <w:color w:val="525866"/>
          <w:sz w:val="22"/>
        </w:rPr>
        <w:t xml:space="preserve">Two internal promotions announced, signaling continued emphasis on internal talent development and M&amp;A pipeline execution. </w:t>
      </w:r>
      <w:r>
        <w:rPr>
          <w:rFonts w:ascii="Calibri" w:hAnsi="Calibri"/>
          <w:b/>
          <w:color w:val="525866"/>
          <w:sz w:val="22"/>
        </w:rPr>
        <w:t>Implication: Management depth and succession planning are positive signals for long-term execution.</w:t>
      </w:r>
    </w:p>
    <w:p>
      <w:pPr>
        <w:pStyle w:val="ListBullet"/>
        <w:ind w:left="360" w:hanging="360"/>
      </w:pPr>
      <w:r>
        <w:rPr>
          <w:rFonts w:ascii="Calibri" w:hAnsi="Calibri"/>
          <w:b/>
          <w:color w:val="525866"/>
          <w:sz w:val="22"/>
        </w:rPr>
        <w:t xml:space="preserve">Macro Watch — Middle East Conflict &amp; RPM Trends: </w:t>
      </w:r>
      <w:r>
        <w:rPr>
          <w:rFonts w:ascii="Calibri" w:hAnsi="Calibri"/>
          <w:color w:val="525866"/>
          <w:sz w:val="22"/>
        </w:rPr>
        <w:t xml:space="preserve">Global RPM growth slowed to 2.1% in March (vs. 8% ex-Middle East); takeoff/landing cycles in the Middle East dipped slightly negative. Peer commentary (RTX, GE, HEICO, Boeing) consistently characterizes the disruption as transitory with no material change in ordering activity. </w:t>
      </w:r>
      <w:r>
        <w:rPr>
          <w:rFonts w:ascii="Calibri" w:hAnsi="Calibri"/>
          <w:b/>
          <w:color w:val="525866"/>
          <w:sz w:val="22"/>
        </w:rPr>
        <w:t>Implication: The key watch item for Q3 CAM commentary; any escalation or prolonged disruption would be the primary downside risk.</w:t>
      </w:r>
    </w:p>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color w:val="525866"/>
          <w:sz w:val="22"/>
        </w:rPr>
        <w:t xml:space="preserve">All insider transactions since the Q2 print are </w:t>
      </w:r>
      <w:r>
        <w:rPr>
          <w:rFonts w:ascii="Calibri" w:hAnsi="Calibri"/>
          <w:b/>
          <w:color w:val="525866"/>
          <w:sz w:val="22"/>
        </w:rPr>
        <w:t>routine 10b5-1 plan executions</w:t>
      </w:r>
      <w:r>
        <w:rPr>
          <w:rFonts w:ascii="Calibri" w:hAnsi="Calibri"/>
          <w:color w:val="525866"/>
          <w:sz w:val="22"/>
        </w:rPr>
        <w:t xml:space="preserve"> — option exercises followed by same-day sales (cashless exercise pattern). There are no discretionary open-market buys or sells, and no unusual clustering or size that would signal a directional view. The absence of discretionary activity is neutral.</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Transaction 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Howley W Nicholas</w:t>
            </w:r>
          </w:p>
        </w:tc>
        <w:tc>
          <w:tcPr>
            <w:tcW w:type="dxa" w:w="1440"/>
          </w:tcPr>
          <w:p>
            <w:r>
              <w:rPr>
                <w:rFonts w:ascii="Calibri" w:hAnsi="Calibri"/>
                <w:sz w:val="22"/>
              </w:rPr>
              <w:t>Director</w:t>
            </w:r>
          </w:p>
        </w:tc>
        <w:tc>
          <w:tcPr>
            <w:tcW w:type="dxa" w:w="1440"/>
          </w:tcPr>
          <w:p>
            <w:r>
              <w:rPr>
                <w:rFonts w:ascii="Calibri" w:hAnsi="Calibri"/>
                <w:sz w:val="22"/>
              </w:rPr>
              <w:t>10b5-1 Option Exercise + Sale</w:t>
            </w:r>
          </w:p>
        </w:tc>
        <w:tc>
          <w:tcPr>
            <w:tcW w:type="dxa" w:w="1440"/>
          </w:tcPr>
          <w:p>
            <w:r>
              <w:rPr>
                <w:rFonts w:ascii="Calibri" w:hAnsi="Calibri"/>
                <w:sz w:val="22"/>
              </w:rPr>
              <w:t>10,132 shares exercised; 10,132 sold</w:t>
            </w:r>
          </w:p>
        </w:tc>
        <w:tc>
          <w:tcPr>
            <w:tcW w:type="dxa" w:w="1440"/>
          </w:tcPr>
          <w:p>
            <w:r>
              <w:rPr>
                <w:rFonts w:ascii="Calibri" w:hAnsi="Calibri"/>
                <w:sz w:val="22"/>
              </w:rPr>
              <w:t>July 20, 2026</w:t>
            </w:r>
          </w:p>
        </w:tc>
        <w:tc>
          <w:tcPr>
            <w:tcW w:type="dxa" w:w="1440"/>
          </w:tcPr>
          <w:p>
            <w:r>
              <w:rPr>
                <w:rFonts w:ascii="Calibri" w:hAnsi="Calibri"/>
                <w:sz w:val="22"/>
              </w:rPr>
              <w:t>Routine 10b5-1 plan; cashless exercise of stock options via Howley Family Trust; no discretionary signal</w:t>
            </w:r>
          </w:p>
        </w:tc>
      </w:tr>
      <w:tr>
        <w:tc>
          <w:tcPr>
            <w:tcW w:type="dxa" w:w="1440"/>
          </w:tcPr>
          <w:p>
            <w:r>
              <w:rPr>
                <w:rFonts w:ascii="Calibri" w:hAnsi="Calibri"/>
                <w:sz w:val="22"/>
              </w:rPr>
              <w:t>Reiss Joel</w:t>
            </w:r>
          </w:p>
        </w:tc>
        <w:tc>
          <w:tcPr>
            <w:tcW w:type="dxa" w:w="1440"/>
          </w:tcPr>
          <w:p>
            <w:r>
              <w:rPr>
                <w:rFonts w:ascii="Calibri" w:hAnsi="Calibri"/>
                <w:sz w:val="22"/>
              </w:rPr>
              <w:t>Co-Chief Operating Officer</w:t>
            </w:r>
          </w:p>
        </w:tc>
        <w:tc>
          <w:tcPr>
            <w:tcW w:type="dxa" w:w="1440"/>
          </w:tcPr>
          <w:p>
            <w:r>
              <w:rPr>
                <w:rFonts w:ascii="Calibri" w:hAnsi="Calibri"/>
                <w:sz w:val="22"/>
              </w:rPr>
              <w:t>10b5-1 Option Exercise + Sale</w:t>
            </w:r>
          </w:p>
        </w:tc>
        <w:tc>
          <w:tcPr>
            <w:tcW w:type="dxa" w:w="1440"/>
          </w:tcPr>
          <w:p>
            <w:r>
              <w:rPr>
                <w:rFonts w:ascii="Calibri" w:hAnsi="Calibri"/>
                <w:sz w:val="22"/>
              </w:rPr>
              <w:t>3,900 shares exercised; 3,486 + 414 sold</w:t>
            </w:r>
          </w:p>
        </w:tc>
        <w:tc>
          <w:tcPr>
            <w:tcW w:type="dxa" w:w="1440"/>
          </w:tcPr>
          <w:p>
            <w:r>
              <w:rPr>
                <w:rFonts w:ascii="Calibri" w:hAnsi="Calibri"/>
                <w:sz w:val="22"/>
              </w:rPr>
              <w:t>July 15, 2026</w:t>
            </w:r>
          </w:p>
        </w:tc>
        <w:tc>
          <w:tcPr>
            <w:tcW w:type="dxa" w:w="1440"/>
          </w:tcPr>
          <w:p>
            <w:r>
              <w:rPr>
                <w:rFonts w:ascii="Calibri" w:hAnsi="Calibri"/>
                <w:sz w:val="22"/>
              </w:rPr>
              <w:t>Routine 10b5-1 plan; cashless exercise; net shares retained after tax withholding; no discretionary signal</w:t>
            </w:r>
          </w:p>
        </w:tc>
      </w:tr>
      <w:tr>
        <w:tc>
          <w:tcPr>
            <w:tcW w:type="dxa" w:w="1440"/>
          </w:tcPr>
          <w:p>
            <w:r>
              <w:rPr>
                <w:rFonts w:ascii="Calibri" w:hAnsi="Calibri"/>
                <w:sz w:val="22"/>
              </w:rPr>
              <w:t>Howley W Nicholas</w:t>
            </w:r>
          </w:p>
        </w:tc>
        <w:tc>
          <w:tcPr>
            <w:tcW w:type="dxa" w:w="1440"/>
          </w:tcPr>
          <w:p>
            <w:r>
              <w:rPr>
                <w:rFonts w:ascii="Calibri" w:hAnsi="Calibri"/>
                <w:sz w:val="22"/>
              </w:rPr>
              <w:t>Director</w:t>
            </w:r>
          </w:p>
        </w:tc>
        <w:tc>
          <w:tcPr>
            <w:tcW w:type="dxa" w:w="1440"/>
          </w:tcPr>
          <w:p>
            <w:r>
              <w:rPr>
                <w:rFonts w:ascii="Calibri" w:hAnsi="Calibri"/>
                <w:sz w:val="22"/>
              </w:rPr>
              <w:t>10b5-1 Option Exercise + Sale</w:t>
            </w:r>
          </w:p>
        </w:tc>
        <w:tc>
          <w:tcPr>
            <w:tcW w:type="dxa" w:w="1440"/>
          </w:tcPr>
          <w:p>
            <w:r>
              <w:rPr>
                <w:rFonts w:ascii="Calibri" w:hAnsi="Calibri"/>
                <w:sz w:val="22"/>
              </w:rPr>
              <w:t>10,132 shares exercised; 10,132 sold (multiple tranches)</w:t>
            </w:r>
          </w:p>
        </w:tc>
        <w:tc>
          <w:tcPr>
            <w:tcW w:type="dxa" w:w="1440"/>
          </w:tcPr>
          <w:p>
            <w:r>
              <w:rPr>
                <w:rFonts w:ascii="Calibri" w:hAnsi="Calibri"/>
                <w:sz w:val="22"/>
              </w:rPr>
              <w:t>June 18, 2026</w:t>
            </w:r>
          </w:p>
        </w:tc>
        <w:tc>
          <w:tcPr>
            <w:tcW w:type="dxa" w:w="1440"/>
          </w:tcPr>
          <w:p>
            <w:r>
              <w:rPr>
                <w:rFonts w:ascii="Calibri" w:hAnsi="Calibri"/>
                <w:sz w:val="22"/>
              </w:rPr>
              <w:t>Routine 10b5-1 plan; cashless exercise via Howley Family Trust; consistent with prior months’ pattern</w:t>
            </w:r>
          </w:p>
        </w:tc>
      </w:tr>
      <w:tr>
        <w:tc>
          <w:tcPr>
            <w:tcW w:type="dxa" w:w="1440"/>
          </w:tcPr>
          <w:p>
            <w:r>
              <w:rPr>
                <w:rFonts w:ascii="Calibri" w:hAnsi="Calibri"/>
                <w:sz w:val="22"/>
              </w:rPr>
              <w:t>Reiss Joel</w:t>
            </w:r>
          </w:p>
        </w:tc>
        <w:tc>
          <w:tcPr>
            <w:tcW w:type="dxa" w:w="1440"/>
          </w:tcPr>
          <w:p>
            <w:r>
              <w:rPr>
                <w:rFonts w:ascii="Calibri" w:hAnsi="Calibri"/>
                <w:sz w:val="22"/>
              </w:rPr>
              <w:t>Co-Chief Operating Officer</w:t>
            </w:r>
          </w:p>
        </w:tc>
        <w:tc>
          <w:tcPr>
            <w:tcW w:type="dxa" w:w="1440"/>
          </w:tcPr>
          <w:p>
            <w:r>
              <w:rPr>
                <w:rFonts w:ascii="Calibri" w:hAnsi="Calibri"/>
                <w:sz w:val="22"/>
              </w:rPr>
              <w:t>10b5-1 Option Exercise + Sale</w:t>
            </w:r>
          </w:p>
        </w:tc>
        <w:tc>
          <w:tcPr>
            <w:tcW w:type="dxa" w:w="1440"/>
          </w:tcPr>
          <w:p>
            <w:r>
              <w:rPr>
                <w:rFonts w:ascii="Calibri" w:hAnsi="Calibri"/>
                <w:sz w:val="22"/>
              </w:rPr>
              <w:t>3,900 shares exercised; 3,900 sold</w:t>
            </w:r>
          </w:p>
        </w:tc>
        <w:tc>
          <w:tcPr>
            <w:tcW w:type="dxa" w:w="1440"/>
          </w:tcPr>
          <w:p>
            <w:r>
              <w:rPr>
                <w:rFonts w:ascii="Calibri" w:hAnsi="Calibri"/>
                <w:sz w:val="22"/>
              </w:rPr>
              <w:t>June 15, 2026</w:t>
            </w:r>
          </w:p>
        </w:tc>
        <w:tc>
          <w:tcPr>
            <w:tcW w:type="dxa" w:w="1440"/>
          </w:tcPr>
          <w:p>
            <w:r>
              <w:rPr>
                <w:rFonts w:ascii="Calibri" w:hAnsi="Calibri"/>
                <w:sz w:val="22"/>
              </w:rPr>
              <w:t>Routine 10b5-1 plan; cashless exercise; consistent monthly cadence</w:t>
            </w:r>
          </w:p>
        </w:tc>
      </w:tr>
      <w:tr>
        <w:tc>
          <w:tcPr>
            <w:tcW w:type="dxa" w:w="1440"/>
          </w:tcPr>
          <w:p>
            <w:r>
              <w:rPr>
                <w:rFonts w:ascii="Calibri" w:hAnsi="Calibri"/>
                <w:sz w:val="22"/>
              </w:rPr>
              <w:t>Howley W Nicholas</w:t>
            </w:r>
          </w:p>
        </w:tc>
        <w:tc>
          <w:tcPr>
            <w:tcW w:type="dxa" w:w="1440"/>
          </w:tcPr>
          <w:p>
            <w:r>
              <w:rPr>
                <w:rFonts w:ascii="Calibri" w:hAnsi="Calibri"/>
                <w:sz w:val="22"/>
              </w:rPr>
              <w:t>Director</w:t>
            </w:r>
          </w:p>
        </w:tc>
        <w:tc>
          <w:tcPr>
            <w:tcW w:type="dxa" w:w="1440"/>
          </w:tcPr>
          <w:p>
            <w:r>
              <w:rPr>
                <w:rFonts w:ascii="Calibri" w:hAnsi="Calibri"/>
                <w:sz w:val="22"/>
              </w:rPr>
              <w:t>10b5-1 Option Exercise</w:t>
            </w:r>
          </w:p>
        </w:tc>
        <w:tc>
          <w:tcPr>
            <w:tcW w:type="dxa" w:w="1440"/>
          </w:tcPr>
          <w:p>
            <w:r>
              <w:rPr>
                <w:rFonts w:ascii="Calibri" w:hAnsi="Calibri"/>
                <w:sz w:val="22"/>
              </w:rPr>
              <w:t>10,132 shares acquired (Common Stock)</w:t>
            </w:r>
          </w:p>
        </w:tc>
        <w:tc>
          <w:tcPr>
            <w:tcW w:type="dxa" w:w="1440"/>
          </w:tcPr>
          <w:p>
            <w:r>
              <w:rPr>
                <w:rFonts w:ascii="Calibri" w:hAnsi="Calibri"/>
                <w:sz w:val="22"/>
              </w:rPr>
              <w:t>May 18, 2026</w:t>
            </w:r>
          </w:p>
        </w:tc>
        <w:tc>
          <w:tcPr>
            <w:tcW w:type="dxa" w:w="1440"/>
          </w:tcPr>
          <w:p>
            <w:r>
              <w:rPr>
                <w:rFonts w:ascii="Calibri" w:hAnsi="Calibri"/>
                <w:sz w:val="22"/>
              </w:rPr>
              <w:t>Routine 10b5-1 plan; option exercise only (no same-day sale filed in this tranche); Howley Family Trust</w:t>
            </w:r>
          </w:p>
        </w:tc>
      </w:tr>
      <w:tr>
        <w:tc>
          <w:tcPr>
            <w:tcW w:type="dxa" w:w="1440"/>
          </w:tcPr>
          <w:p>
            <w:r>
              <w:rPr>
                <w:rFonts w:ascii="Calibri" w:hAnsi="Calibri"/>
                <w:sz w:val="22"/>
              </w:rPr>
              <w:t>Reiss Joel</w:t>
            </w:r>
          </w:p>
        </w:tc>
        <w:tc>
          <w:tcPr>
            <w:tcW w:type="dxa" w:w="1440"/>
          </w:tcPr>
          <w:p>
            <w:r>
              <w:rPr>
                <w:rFonts w:ascii="Calibri" w:hAnsi="Calibri"/>
                <w:sz w:val="22"/>
              </w:rPr>
              <w:t>Co-Chief Operating Officer</w:t>
            </w:r>
          </w:p>
        </w:tc>
        <w:tc>
          <w:tcPr>
            <w:tcW w:type="dxa" w:w="1440"/>
          </w:tcPr>
          <w:p>
            <w:r>
              <w:rPr>
                <w:rFonts w:ascii="Calibri" w:hAnsi="Calibri"/>
                <w:sz w:val="22"/>
              </w:rPr>
              <w:t>10b5-1 Option Exercise</w:t>
            </w:r>
          </w:p>
        </w:tc>
        <w:tc>
          <w:tcPr>
            <w:tcW w:type="dxa" w:w="1440"/>
          </w:tcPr>
          <w:p>
            <w:r>
              <w:rPr>
                <w:rFonts w:ascii="Calibri" w:hAnsi="Calibri"/>
                <w:sz w:val="22"/>
              </w:rPr>
              <w:t>3,900 shares acquired (Common Stock)</w:t>
            </w:r>
          </w:p>
        </w:tc>
        <w:tc>
          <w:tcPr>
            <w:tcW w:type="dxa" w:w="1440"/>
          </w:tcPr>
          <w:p>
            <w:r>
              <w:rPr>
                <w:rFonts w:ascii="Calibri" w:hAnsi="Calibri"/>
                <w:sz w:val="22"/>
              </w:rPr>
              <w:t>May 15, 2026</w:t>
            </w:r>
          </w:p>
        </w:tc>
        <w:tc>
          <w:tcPr>
            <w:tcW w:type="dxa" w:w="1440"/>
          </w:tcPr>
          <w:p>
            <w:r>
              <w:rPr>
                <w:rFonts w:ascii="Calibri" w:hAnsi="Calibri"/>
                <w:sz w:val="22"/>
              </w:rPr>
              <w:t>Routine 10b5-1 plan; option exercise; consistent with prior months’ cadence</w:t>
            </w:r>
          </w:p>
        </w:tc>
      </w:tr>
    </w:tbl>
    <w:p>
      <w:r>
        <w:rPr>
          <w:rFonts w:ascii="Calibri" w:hAnsi="Calibri"/>
          <w:b/>
          <w:color w:val="525866"/>
          <w:sz w:val="22"/>
        </w:rPr>
        <w:t xml:space="preserve">Assessment: </w:t>
      </w:r>
      <w:r>
        <w:rPr>
          <w:rFonts w:ascii="Calibri" w:hAnsi="Calibri"/>
          <w:color w:val="525866"/>
          <w:sz w:val="22"/>
        </w:rPr>
        <w:t>All transactions are pre-scheduled 10b5-1 plan executions (option exercises followed by same-day or near-term sales), consistent with a regular monthly cadence for both Howley and Reiss. The overall_10b5 flag is True for all transactions. There are no open-market discretionary buys or sells, no unusual clustering, and no large block sales outside the plan. This is a neutral signal — insiders are not adding to positions, but they are not making discretionary sales either.</w:t>
      </w:r>
    </w:p>
    <w:p>
      <w:r>
        <w:rPr>
          <w:rFonts w:ascii="Calibri" w:hAnsi="Calibri"/>
          <w:i/>
          <w:color w:val="525866"/>
          <w:sz w:val="22"/>
        </w:rPr>
        <w:t>Source: Insider Transaction Data (SEC Form 4 filings, May 5 – August 3, 2026).</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