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TransDigm Group (TDG) — Q3 FY2026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TransDigm Group Incorporated</w:t>
            </w:r>
          </w:p>
        </w:tc>
      </w:tr>
      <w:tr>
        <w:tc>
          <w:tcPr>
            <w:tcW w:type="dxa" w:w="4320"/>
          </w:tcPr>
          <w:p>
            <w:r>
              <w:rPr>
                <w:rFonts w:ascii="Calibri" w:hAnsi="Calibri"/>
                <w:b/>
                <w:sz w:val="22"/>
              </w:rPr>
              <w:t>Ticker</w:t>
            </w:r>
          </w:p>
        </w:tc>
        <w:tc>
          <w:tcPr>
            <w:tcW w:type="dxa" w:w="4320"/>
          </w:tcPr>
          <w:p>
            <w:r>
              <w:rPr>
                <w:rFonts w:ascii="Calibri" w:hAnsi="Calibri"/>
                <w:sz w:val="22"/>
              </w:rPr>
              <w:t>TDG (NYSE)</w:t>
            </w:r>
          </w:p>
        </w:tc>
      </w:tr>
      <w:tr>
        <w:tc>
          <w:tcPr>
            <w:tcW w:type="dxa" w:w="4320"/>
          </w:tcPr>
          <w:p>
            <w:r>
              <w:rPr>
                <w:rFonts w:ascii="Calibri" w:hAnsi="Calibri"/>
                <w:b/>
                <w:sz w:val="22"/>
              </w:rPr>
              <w:t>Reporting Period</w:t>
            </w:r>
          </w:p>
        </w:tc>
        <w:tc>
          <w:tcPr>
            <w:tcW w:type="dxa" w:w="4320"/>
          </w:tcPr>
          <w:p>
            <w:r>
              <w:rPr>
                <w:rFonts w:ascii="Calibri" w:hAnsi="Calibri"/>
                <w:sz w:val="22"/>
              </w:rPr>
              <w:t>Q3 FY2026 (quarter ending June 30, 2026)</w:t>
            </w:r>
          </w:p>
        </w:tc>
      </w:tr>
      <w:tr>
        <w:tc>
          <w:tcPr>
            <w:tcW w:type="dxa" w:w="4320"/>
          </w:tcPr>
          <w:p>
            <w:r>
              <w:rPr>
                <w:rFonts w:ascii="Calibri" w:hAnsi="Calibri"/>
                <w:b/>
                <w:sz w:val="22"/>
              </w:rPr>
              <w:t>Earnings Date</w:t>
            </w:r>
          </w:p>
        </w:tc>
        <w:tc>
          <w:tcPr>
            <w:tcW w:type="dxa" w:w="4320"/>
          </w:tcPr>
          <w:p>
            <w:r>
              <w:rPr>
                <w:rFonts w:ascii="Calibri" w:hAnsi="Calibri"/>
                <w:sz w:val="22"/>
              </w:rPr>
              <w:t>August 4, 2026 — 11:00 AM ET</w:t>
            </w:r>
          </w:p>
        </w:tc>
      </w:tr>
      <w:tr>
        <w:tc>
          <w:tcPr>
            <w:tcW w:type="dxa" w:w="4320"/>
          </w:tcPr>
          <w:p>
            <w:r>
              <w:rPr>
                <w:rFonts w:ascii="Calibri" w:hAnsi="Calibri"/>
                <w:b/>
                <w:sz w:val="22"/>
              </w:rPr>
              <w:t>Prepared</w:t>
            </w:r>
          </w:p>
        </w:tc>
        <w:tc>
          <w:tcPr>
            <w:tcW w:type="dxa" w:w="4320"/>
          </w:tcPr>
          <w:p>
            <w:r>
              <w:rPr>
                <w:rFonts w:ascii="Calibri" w:hAnsi="Calibri"/>
                <w:sz w:val="22"/>
              </w:rPr>
              <w:t>August 3, 2026</w:t>
            </w:r>
          </w:p>
        </w:tc>
      </w:tr>
      <w:tr>
        <w:tc>
          <w:tcPr>
            <w:tcW w:type="dxa" w:w="4320"/>
          </w:tcPr>
          <w:p>
            <w:r>
              <w:rPr>
                <w:rFonts w:ascii="Calibri" w:hAnsi="Calibri"/>
                <w:b/>
                <w:sz w:val="22"/>
              </w:rPr>
              <w:t>Last Earnings</w:t>
            </w:r>
          </w:p>
        </w:tc>
        <w:tc>
          <w:tcPr>
            <w:tcW w:type="dxa" w:w="4320"/>
          </w:tcPr>
          <w:p>
            <w:r>
              <w:rPr>
                <w:rFonts w:ascii="Calibri" w:hAnsi="Calibri"/>
                <w:sz w:val="22"/>
              </w:rPr>
              <w:t>May 5, 2026 (Q2 FY2026)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Setup leans constructive — consensus is a manageable bar after the Q2 beat-and-raise, and the peer read-through from GE, RTX, and WWD all point to continued commercial aftermarket strength in the April–June quarter; the biggest swing factor is whether commercial aftermarket growth sustains the high-single-digit to low-double-digit pace management guided to, or whether Middle East-related RPM softness creates a sequential deceleration that disappoints.</w:t>
      </w:r>
    </w:p>
    <w:p>
      <w:r>
        <w:rPr>
          <w:rFonts w:ascii="Calibri" w:hAnsi="Calibri"/>
          <w:color w:val="525866"/>
          <w:sz w:val="22"/>
        </w:rPr>
        <w:t xml:space="preserve">Heading into Q3 FY2026, TransDigm's setup is broadly favorable but not without nuance. </w:t>
      </w:r>
      <w:r>
        <w:rPr>
          <w:rFonts w:ascii="Calibri" w:hAnsi="Calibri"/>
          <w:color w:val="525866"/>
          <w:sz w:val="22"/>
        </w:rPr>
        <w:t>Consensus EBITDA As Defined of ~$1.40B and operating EPS of ~$10.27 represent a step-up from Q2's $1.337B and $9.85, respectively, and are achievable given the strong bookings momentum management described on the May 5 call — Q2 commercial aftermarket bookings were described as an all-time high, and distributor destocking headwinds have largely resolved.</w:t>
      </w:r>
      <w:r>
        <w:rPr>
          <w:rFonts w:ascii="Calibri" w:hAnsi="Calibri"/>
          <w:color w:val="525866"/>
          <w:sz w:val="22"/>
        </w:rPr>
        <w:t xml:space="preserve"> Management's tone on the May call was notably confident: the large majority of the guidance raise came from base business outperformance rather than newly closed acquisitions, and same-store margin improvement of ~1–1.5 percentage points per year remains the stated framework.</w:t>
      </w:r>
      <w:r>
        <w:rPr>
          <w:rFonts w:ascii="Calibri" w:hAnsi="Calibri"/>
          <w:color w:val="525866"/>
          <w:sz w:val="22"/>
        </w:rPr>
        <w:t xml:space="preserve"> Estimate revisions have been modestly positive since the Q2 print — the Q3 FY2026 EPS consensus has drifted from ~$10.20 to ~$10.27 — suggesting the Street is incrementally constructive but not aggressively chasing numbers higher.</w:t>
      </w:r>
      <w:r>
        <w:rPr>
          <w:rFonts w:ascii="Calibri" w:hAnsi="Calibri"/>
          <w:color w:val="525866"/>
          <w:sz w:val="22"/>
        </w:rPr>
        <w:t xml:space="preserve"> The stock has recovered from its April tariff-driven lows but trades roughly flat to slightly below the post-Q2 earnings spike, implying the market has not fully priced in another beat; at ~22–23x NTM EBITDA, valuation is elevated but consistent with TDG's historical premium.</w:t>
      </w:r>
      <w:r>
        <w:rPr>
          <w:rFonts w:ascii="Calibri" w:hAnsi="Calibri"/>
          <w:color w:val="525866"/>
          <w:sz w:val="22"/>
        </w:rPr>
        <w:t xml:space="preserve"> The key wildcard is the commercial aftermarket trajectory: GE Aerospace reported record MRO output and described aftermarket demand as resilient with 'no demand problem,' RTX's Pratt &amp; Whitney saw commercial aftermarket up 25%, and Woodward (WWD) noted inputs 'steady to increasing' — all pointing to a healthy Q3 for TDG's highest-margin revenue stream, though any incremental commentary on Middle East flight disruptions or distributor re-stocking pace could move the stock materially on print day.</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but not low bar — the Street expects double-digit growth across all three channels. </w:t>
      </w:r>
      <w:r>
        <w:rPr>
          <w:rFonts w:ascii="Calibri" w:hAnsi="Calibri"/>
          <w:b/>
          <w:color w:val="525866"/>
          <w:sz w:val="22"/>
        </w:rPr>
        <w:t>Commercial aftermarket is the bigger swing factor</w:t>
      </w:r>
      <w:r>
        <w:rPr>
          <w:rFonts w:ascii="Calibri" w:hAnsi="Calibri"/>
          <w:color w:val="525866"/>
          <w:sz w:val="22"/>
        </w:rPr>
        <w:t>: at ~$837M consensus, it implies ~9% YoY growth, which is achievable given peer read-throughs but could disappoint if Middle East softness persists into June.</w:t>
      </w:r>
    </w:p>
    <w:p>
      <w:pPr>
        <w:pStyle w:val="Heading2"/>
      </w:pPr>
      <w:r>
        <w:rPr>
          <w:rFonts w:ascii="Calibri" w:hAnsi="Calibri"/>
          <w:b/>
          <w:color w:val="3B4259"/>
          <w:sz w:val="28"/>
        </w:rPr>
        <w:t>Table 1 — Q3 FY2026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Q2 FY2026 Actual (Last Quarter)</w:t>
            </w:r>
          </w:p>
        </w:tc>
        <w:tc>
          <w:tcPr>
            <w:tcW w:type="dxa" w:w="1234"/>
            <w:shd w:val="clear" w:color="auto" w:fill="3B4259"/>
          </w:tcPr>
          <w:p>
            <w:r>
              <w:rPr>
                <w:rFonts w:ascii="Calibri" w:hAnsi="Calibri"/>
                <w:b/>
                <w:color w:val="FFFFFF"/>
                <w:sz w:val="22"/>
              </w:rPr>
              <w:t>Q3 FY2025 Actual (Prior Year)</w:t>
            </w:r>
          </w:p>
        </w:tc>
        <w:tc>
          <w:tcPr>
            <w:tcW w:type="dxa" w:w="1234"/>
            <w:shd w:val="clear" w:color="auto" w:fill="3B4259"/>
          </w:tcPr>
          <w:p>
            <w:r>
              <w:rPr>
                <w:rFonts w:ascii="Calibri" w:hAnsi="Calibri"/>
                <w:b/>
                <w:color w:val="FFFFFF"/>
                <w:sz w:val="22"/>
              </w:rPr>
              <w:t>Q3 FY2026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 (Midpoint)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 ($M)</w:t>
            </w:r>
          </w:p>
        </w:tc>
        <w:tc>
          <w:tcPr>
            <w:tcW w:type="dxa" w:w="1234"/>
          </w:tcPr>
          <w:p>
            <w:r>
              <w:rPr>
                <w:rFonts w:ascii="Calibri" w:hAnsi="Calibri"/>
                <w:sz w:val="22"/>
              </w:rPr>
              <w:t>$2,544</w:t>
            </w:r>
          </w:p>
        </w:tc>
        <w:tc>
          <w:tcPr>
            <w:tcW w:type="dxa" w:w="1234"/>
          </w:tcPr>
          <w:p>
            <w:r>
              <w:rPr>
                <w:rFonts w:ascii="Calibri" w:hAnsi="Calibri"/>
                <w:sz w:val="22"/>
              </w:rPr>
              <w:t>$2,237</w:t>
            </w:r>
          </w:p>
        </w:tc>
        <w:tc>
          <w:tcPr>
            <w:tcW w:type="dxa" w:w="1234"/>
          </w:tcPr>
          <w:p>
            <w:r>
              <w:rPr>
                <w:rFonts w:ascii="Calibri" w:hAnsi="Calibri"/>
                <w:sz w:val="22"/>
              </w:rPr>
              <w:t>$2,675</w:t>
            </w:r>
          </w:p>
        </w:tc>
        <w:tc>
          <w:tcPr>
            <w:tcW w:type="dxa" w:w="1234"/>
          </w:tcPr>
          <w:p>
            <w:r>
              <w:rPr>
                <w:rFonts w:ascii="Calibri" w:hAnsi="Calibri"/>
                <w:sz w:val="22"/>
              </w:rPr>
              <w:t>+19.6%</w:t>
            </w:r>
          </w:p>
        </w:tc>
        <w:tc>
          <w:tcPr>
            <w:tcW w:type="dxa" w:w="1234"/>
          </w:tcPr>
          <w:p>
            <w:r>
              <w:rPr>
                <w:rFonts w:ascii="Calibri" w:hAnsi="Calibri"/>
                <w:sz w:val="22"/>
              </w:rPr>
              <w:t>$10,382M (FY midpoint)</w:t>
            </w:r>
          </w:p>
        </w:tc>
        <w:tc>
          <w:tcPr>
            <w:tcW w:type="dxa" w:w="1234"/>
          </w:tcPr>
          <w:p>
            <w:r>
              <w:rPr>
                <w:rFonts w:ascii="Calibri" w:hAnsi="Calibri"/>
                <w:sz w:val="22"/>
              </w:rPr>
              <w:t>~In line (FY cons. $10,382M)</w:t>
            </w:r>
          </w:p>
        </w:tc>
      </w:tr>
      <w:tr>
        <w:tc>
          <w:tcPr>
            <w:tcW w:type="dxa" w:w="1234"/>
          </w:tcPr>
          <w:p>
            <w:r>
              <w:rPr>
                <w:rFonts w:ascii="Calibri" w:hAnsi="Calibri"/>
                <w:sz w:val="22"/>
              </w:rPr>
              <w:t>EBITDA As Defined ($M)</w:t>
            </w:r>
          </w:p>
        </w:tc>
        <w:tc>
          <w:tcPr>
            <w:tcW w:type="dxa" w:w="1234"/>
          </w:tcPr>
          <w:p>
            <w:r>
              <w:rPr>
                <w:rFonts w:ascii="Calibri" w:hAnsi="Calibri"/>
                <w:sz w:val="22"/>
              </w:rPr>
              <w:t>$1,337</w:t>
            </w:r>
          </w:p>
        </w:tc>
        <w:tc>
          <w:tcPr>
            <w:tcW w:type="dxa" w:w="1234"/>
          </w:tcPr>
          <w:p>
            <w:r>
              <w:rPr>
                <w:rFonts w:ascii="Calibri" w:hAnsi="Calibri"/>
                <w:sz w:val="22"/>
              </w:rPr>
              <w:t>$1,217</w:t>
            </w:r>
          </w:p>
        </w:tc>
        <w:tc>
          <w:tcPr>
            <w:tcW w:type="dxa" w:w="1234"/>
          </w:tcPr>
          <w:p>
            <w:r>
              <w:rPr>
                <w:rFonts w:ascii="Calibri" w:hAnsi="Calibri"/>
                <w:sz w:val="22"/>
              </w:rPr>
              <w:t>$1,400</w:t>
            </w:r>
          </w:p>
        </w:tc>
        <w:tc>
          <w:tcPr>
            <w:tcW w:type="dxa" w:w="1234"/>
          </w:tcPr>
          <w:p>
            <w:r>
              <w:rPr>
                <w:rFonts w:ascii="Calibri" w:hAnsi="Calibri"/>
                <w:sz w:val="22"/>
              </w:rPr>
              <w:t>+15.0%</w:t>
            </w:r>
          </w:p>
        </w:tc>
        <w:tc>
          <w:tcPr>
            <w:tcW w:type="dxa" w:w="1234"/>
          </w:tcPr>
          <w:p>
            <w:r>
              <w:rPr>
                <w:rFonts w:ascii="Calibri" w:hAnsi="Calibri"/>
                <w:sz w:val="22"/>
              </w:rPr>
              <w:t>$5,420M (FY midpoint)</w:t>
            </w:r>
          </w:p>
        </w:tc>
        <w:tc>
          <w:tcPr>
            <w:tcW w:type="dxa" w:w="1234"/>
          </w:tcPr>
          <w:p>
            <w:r>
              <w:rPr>
                <w:rFonts w:ascii="Calibri" w:hAnsi="Calibri"/>
                <w:sz w:val="22"/>
              </w:rPr>
              <w:t>~In line (FY cons. $5,444M)</w:t>
            </w:r>
          </w:p>
        </w:tc>
      </w:tr>
      <w:tr>
        <w:tc>
          <w:tcPr>
            <w:tcW w:type="dxa" w:w="1234"/>
          </w:tcPr>
          <w:p>
            <w:r>
              <w:rPr>
                <w:rFonts w:ascii="Calibri" w:hAnsi="Calibri"/>
                <w:sz w:val="22"/>
              </w:rPr>
              <w:t>EBITDA Margin (%)</w:t>
            </w:r>
          </w:p>
        </w:tc>
        <w:tc>
          <w:tcPr>
            <w:tcW w:type="dxa" w:w="1234"/>
          </w:tcPr>
          <w:p>
            <w:r>
              <w:rPr>
                <w:rFonts w:ascii="Calibri" w:hAnsi="Calibri"/>
                <w:sz w:val="22"/>
              </w:rPr>
              <w:t>52.6%</w:t>
            </w:r>
          </w:p>
        </w:tc>
        <w:tc>
          <w:tcPr>
            <w:tcW w:type="dxa" w:w="1234"/>
          </w:tcPr>
          <w:p>
            <w:r>
              <w:rPr>
                <w:rFonts w:ascii="Calibri" w:hAnsi="Calibri"/>
                <w:sz w:val="22"/>
              </w:rPr>
              <w:t>54.4%</w:t>
            </w:r>
          </w:p>
        </w:tc>
        <w:tc>
          <w:tcPr>
            <w:tcW w:type="dxa" w:w="1234"/>
          </w:tcPr>
          <w:p>
            <w:r>
              <w:rPr>
                <w:rFonts w:ascii="Calibri" w:hAnsi="Calibri"/>
                <w:sz w:val="22"/>
              </w:rPr>
              <w:t>~52.3%</w:t>
            </w:r>
          </w:p>
        </w:tc>
        <w:tc>
          <w:tcPr>
            <w:tcW w:type="dxa" w:w="1234"/>
          </w:tcPr>
          <w:p>
            <w:r>
              <w:rPr>
                <w:rFonts w:ascii="Calibri" w:hAnsi="Calibri"/>
                <w:sz w:val="22"/>
              </w:rPr>
              <w:t>-210 bps YoY</w:t>
            </w:r>
          </w:p>
        </w:tc>
        <w:tc>
          <w:tcPr>
            <w:tcW w:type="dxa" w:w="1234"/>
          </w:tcPr>
          <w:p>
            <w:r>
              <w:rPr>
                <w:rFonts w:ascii="Calibri" w:hAnsi="Calibri"/>
                <w:sz w:val="22"/>
              </w:rPr>
              <w:t>~52.3% (FY guide)</w:t>
            </w:r>
          </w:p>
        </w:tc>
        <w:tc>
          <w:tcPr>
            <w:tcW w:type="dxa" w:w="1234"/>
          </w:tcPr>
          <w:p>
            <w:r>
              <w:rPr>
                <w:rFonts w:ascii="Calibri" w:hAnsi="Calibri"/>
                <w:sz w:val="22"/>
              </w:rPr>
              <w:t>In line</w:t>
            </w:r>
          </w:p>
        </w:tc>
      </w:tr>
      <w:tr>
        <w:tc>
          <w:tcPr>
            <w:tcW w:type="dxa" w:w="1234"/>
          </w:tcPr>
          <w:p>
            <w:r>
              <w:rPr>
                <w:rFonts w:ascii="Calibri" w:hAnsi="Calibri"/>
                <w:sz w:val="22"/>
              </w:rPr>
              <w:t>Adj. EPS (Diluted Operating)</w:t>
            </w:r>
          </w:p>
        </w:tc>
        <w:tc>
          <w:tcPr>
            <w:tcW w:type="dxa" w:w="1234"/>
          </w:tcPr>
          <w:p>
            <w:r>
              <w:rPr>
                <w:rFonts w:ascii="Calibri" w:hAnsi="Calibri"/>
                <w:sz w:val="22"/>
              </w:rPr>
              <w:t>$9.85</w:t>
            </w:r>
          </w:p>
        </w:tc>
        <w:tc>
          <w:tcPr>
            <w:tcW w:type="dxa" w:w="1234"/>
          </w:tcPr>
          <w:p>
            <w:r>
              <w:rPr>
                <w:rFonts w:ascii="Calibri" w:hAnsi="Calibri"/>
                <w:sz w:val="22"/>
              </w:rPr>
              <w:t>$9.60</w:t>
            </w:r>
          </w:p>
        </w:tc>
        <w:tc>
          <w:tcPr>
            <w:tcW w:type="dxa" w:w="1234"/>
          </w:tcPr>
          <w:p>
            <w:r>
              <w:rPr>
                <w:rFonts w:ascii="Calibri" w:hAnsi="Calibri"/>
                <w:sz w:val="22"/>
              </w:rPr>
              <w:t>$10.27</w:t>
            </w:r>
          </w:p>
        </w:tc>
        <w:tc>
          <w:tcPr>
            <w:tcW w:type="dxa" w:w="1234"/>
          </w:tcPr>
          <w:p>
            <w:r>
              <w:rPr>
                <w:rFonts w:ascii="Calibri" w:hAnsi="Calibri"/>
                <w:sz w:val="22"/>
              </w:rPr>
              <w:t>+7.0%</w:t>
            </w:r>
          </w:p>
        </w:tc>
        <w:tc>
          <w:tcPr>
            <w:tcW w:type="dxa" w:w="1234"/>
          </w:tcPr>
          <w:p>
            <w:r>
              <w:rPr>
                <w:rFonts w:ascii="Calibri" w:hAnsi="Calibri"/>
                <w:sz w:val="22"/>
              </w:rPr>
              <w:t>$39.52 (FY midpoint)</w:t>
            </w:r>
          </w:p>
        </w:tc>
        <w:tc>
          <w:tcPr>
            <w:tcW w:type="dxa" w:w="1234"/>
          </w:tcPr>
          <w:p>
            <w:r>
              <w:rPr>
                <w:rFonts w:ascii="Calibri" w:hAnsi="Calibri"/>
                <w:sz w:val="22"/>
              </w:rPr>
              <w:t>~In line (FY cons. $40.00)</w:t>
            </w:r>
          </w:p>
        </w:tc>
      </w:tr>
      <w:tr>
        <w:tc>
          <w:tcPr>
            <w:tcW w:type="dxa" w:w="1234"/>
          </w:tcPr>
          <w:p>
            <w:r>
              <w:rPr>
                <w:rFonts w:ascii="Calibri" w:hAnsi="Calibri"/>
                <w:sz w:val="22"/>
              </w:rPr>
              <w:t>Commercial Aftermarket Revenue ($M)</w:t>
            </w:r>
          </w:p>
        </w:tc>
        <w:tc>
          <w:tcPr>
            <w:tcW w:type="dxa" w:w="1234"/>
          </w:tcPr>
          <w:p>
            <w:r>
              <w:rPr>
                <w:rFonts w:ascii="Calibri" w:hAnsi="Calibri"/>
                <w:sz w:val="22"/>
              </w:rPr>
              <w:t>$839</w:t>
            </w:r>
          </w:p>
        </w:tc>
        <w:tc>
          <w:tcPr>
            <w:tcW w:type="dxa" w:w="1234"/>
          </w:tcPr>
          <w:p>
            <w:r>
              <w:rPr>
                <w:rFonts w:ascii="Calibri" w:hAnsi="Calibri"/>
                <w:sz w:val="22"/>
              </w:rPr>
              <w:t>$695</w:t>
            </w:r>
          </w:p>
        </w:tc>
        <w:tc>
          <w:tcPr>
            <w:tcW w:type="dxa" w:w="1234"/>
          </w:tcPr>
          <w:p>
            <w:r>
              <w:rPr>
                <w:rFonts w:ascii="Calibri" w:hAnsi="Calibri"/>
                <w:sz w:val="22"/>
              </w:rPr>
              <w:t>$837</w:t>
            </w:r>
          </w:p>
        </w:tc>
        <w:tc>
          <w:tcPr>
            <w:tcW w:type="dxa" w:w="1234"/>
          </w:tcPr>
          <w:p>
            <w:r>
              <w:rPr>
                <w:rFonts w:ascii="Calibri" w:hAnsi="Calibri"/>
                <w:sz w:val="22"/>
              </w:rPr>
              <w:t>+20.3%</w:t>
            </w:r>
          </w:p>
        </w:tc>
        <w:tc>
          <w:tcPr>
            <w:tcW w:type="dxa" w:w="1234"/>
          </w:tcPr>
          <w:p>
            <w:r>
              <w:rPr>
                <w:rFonts w:ascii="Calibri" w:hAnsi="Calibri"/>
                <w:sz w:val="22"/>
              </w:rPr>
              <w:t>High-single to low-double digit % growth</w:t>
            </w:r>
          </w:p>
        </w:tc>
        <w:tc>
          <w:tcPr>
            <w:tcW w:type="dxa" w:w="1234"/>
          </w:tcPr>
          <w:p>
            <w:r>
              <w:rPr>
                <w:rFonts w:ascii="Calibri" w:hAnsi="Calibri"/>
                <w:sz w:val="22"/>
              </w:rPr>
              <w:t>~In line with guidance</w:t>
            </w:r>
          </w:p>
        </w:tc>
      </w:tr>
      <w:tr>
        <w:tc>
          <w:tcPr>
            <w:tcW w:type="dxa" w:w="1234"/>
          </w:tcPr>
          <w:p>
            <w:r>
              <w:rPr>
                <w:rFonts w:ascii="Calibri" w:hAnsi="Calibri"/>
                <w:sz w:val="22"/>
              </w:rPr>
              <w:t>Commercial OEM Revenue ($M)</w:t>
            </w:r>
          </w:p>
        </w:tc>
        <w:tc>
          <w:tcPr>
            <w:tcW w:type="dxa" w:w="1234"/>
          </w:tcPr>
          <w:p>
            <w:r>
              <w:rPr>
                <w:rFonts w:ascii="Calibri" w:hAnsi="Calibri"/>
                <w:sz w:val="22"/>
              </w:rPr>
              <w:t>$603</w:t>
            </w:r>
          </w:p>
        </w:tc>
        <w:tc>
          <w:tcPr>
            <w:tcW w:type="dxa" w:w="1234"/>
          </w:tcPr>
          <w:p>
            <w:r>
              <w:rPr>
                <w:rFonts w:ascii="Calibri" w:hAnsi="Calibri"/>
                <w:sz w:val="22"/>
              </w:rPr>
              <w:t>$539</w:t>
            </w:r>
          </w:p>
        </w:tc>
        <w:tc>
          <w:tcPr>
            <w:tcW w:type="dxa" w:w="1234"/>
          </w:tcPr>
          <w:p>
            <w:r>
              <w:rPr>
                <w:rFonts w:ascii="Calibri" w:hAnsi="Calibri"/>
                <w:sz w:val="22"/>
              </w:rPr>
              <w:t>$639</w:t>
            </w:r>
          </w:p>
        </w:tc>
        <w:tc>
          <w:tcPr>
            <w:tcW w:type="dxa" w:w="1234"/>
          </w:tcPr>
          <w:p>
            <w:r>
              <w:rPr>
                <w:rFonts w:ascii="Calibri" w:hAnsi="Calibri"/>
                <w:sz w:val="22"/>
              </w:rPr>
              <w:t>+18.6%</w:t>
            </w:r>
          </w:p>
        </w:tc>
        <w:tc>
          <w:tcPr>
            <w:tcW w:type="dxa" w:w="1234"/>
          </w:tcPr>
          <w:p>
            <w:r>
              <w:rPr>
                <w:rFonts w:ascii="Calibri" w:hAnsi="Calibri"/>
                <w:sz w:val="22"/>
              </w:rPr>
              <w:t>Low double-digit to mid-teens % growth</w:t>
            </w:r>
          </w:p>
        </w:tc>
        <w:tc>
          <w:tcPr>
            <w:tcW w:type="dxa" w:w="1234"/>
          </w:tcPr>
          <w:p>
            <w:r>
              <w:rPr>
                <w:rFonts w:ascii="Calibri" w:hAnsi="Calibri"/>
                <w:sz w:val="22"/>
              </w:rPr>
              <w:t>~In line with guidance</w:t>
            </w:r>
          </w:p>
        </w:tc>
      </w:tr>
      <w:tr>
        <w:tc>
          <w:tcPr>
            <w:tcW w:type="dxa" w:w="1234"/>
          </w:tcPr>
          <w:p>
            <w:r>
              <w:rPr>
                <w:rFonts w:ascii="Calibri" w:hAnsi="Calibri"/>
                <w:sz w:val="22"/>
              </w:rPr>
              <w:t>Defense Revenue ($M)</w:t>
            </w:r>
          </w:p>
        </w:tc>
        <w:tc>
          <w:tcPr>
            <w:tcW w:type="dxa" w:w="1234"/>
          </w:tcPr>
          <w:p>
            <w:r>
              <w:rPr>
                <w:rFonts w:ascii="Calibri" w:hAnsi="Calibri"/>
                <w:sz w:val="22"/>
              </w:rPr>
              <w:t>$1,057</w:t>
            </w:r>
          </w:p>
        </w:tc>
        <w:tc>
          <w:tcPr>
            <w:tcW w:type="dxa" w:w="1234"/>
          </w:tcPr>
          <w:p>
            <w:r>
              <w:rPr>
                <w:rFonts w:ascii="Calibri" w:hAnsi="Calibri"/>
                <w:sz w:val="22"/>
              </w:rPr>
              <w:t>$963</w:t>
            </w:r>
          </w:p>
        </w:tc>
        <w:tc>
          <w:tcPr>
            <w:tcW w:type="dxa" w:w="1234"/>
          </w:tcPr>
          <w:p>
            <w:r>
              <w:rPr>
                <w:rFonts w:ascii="Calibri" w:hAnsi="Calibri"/>
                <w:sz w:val="22"/>
              </w:rPr>
              <w:t>$1,081</w:t>
            </w:r>
          </w:p>
        </w:tc>
        <w:tc>
          <w:tcPr>
            <w:tcW w:type="dxa" w:w="1234"/>
          </w:tcPr>
          <w:p>
            <w:r>
              <w:rPr>
                <w:rFonts w:ascii="Calibri" w:hAnsi="Calibri"/>
                <w:sz w:val="22"/>
              </w:rPr>
              <w:t>+12.3%</w:t>
            </w:r>
          </w:p>
        </w:tc>
        <w:tc>
          <w:tcPr>
            <w:tcW w:type="dxa" w:w="1234"/>
          </w:tcPr>
          <w:p>
            <w:r>
              <w:rPr>
                <w:rFonts w:ascii="Calibri" w:hAnsi="Calibri"/>
                <w:sz w:val="22"/>
              </w:rPr>
              <w:t>High-single digit % growth</w:t>
            </w:r>
          </w:p>
        </w:tc>
        <w:tc>
          <w:tcPr>
            <w:tcW w:type="dxa" w:w="1234"/>
          </w:tcPr>
          <w:p>
            <w:r>
              <w:rPr>
                <w:rFonts w:ascii="Calibri" w:hAnsi="Calibri"/>
                <w:sz w:val="22"/>
              </w:rPr>
              <w:t>Slightly above guidance midpoint</w:t>
            </w:r>
          </w:p>
        </w:tc>
      </w:tr>
      <w:tr>
        <w:tc>
          <w:tcPr>
            <w:tcW w:type="dxa" w:w="1234"/>
          </w:tcPr>
          <w:p>
            <w:r>
              <w:rPr>
                <w:rFonts w:ascii="Calibri" w:hAnsi="Calibri"/>
                <w:sz w:val="22"/>
              </w:rPr>
              <w:t>Free Cash Flow ($M)</w:t>
            </w:r>
          </w:p>
        </w:tc>
        <w:tc>
          <w:tcPr>
            <w:tcW w:type="dxa" w:w="1234"/>
          </w:tcPr>
          <w:p>
            <w:r>
              <w:rPr>
                <w:rFonts w:ascii="Calibri" w:hAnsi="Calibri"/>
                <w:sz w:val="22"/>
              </w:rPr>
              <w:t>$64</w:t>
            </w:r>
          </w:p>
        </w:tc>
        <w:tc>
          <w:tcPr>
            <w:tcW w:type="dxa" w:w="1234"/>
          </w:tcPr>
          <w:p>
            <w:r>
              <w:rPr>
                <w:rFonts w:ascii="Calibri" w:hAnsi="Calibri"/>
                <w:sz w:val="22"/>
              </w:rPr>
              <w:t>$573</w:t>
            </w:r>
          </w:p>
        </w:tc>
        <w:tc>
          <w:tcPr>
            <w:tcW w:type="dxa" w:w="1234"/>
          </w:tcPr>
          <w:p>
            <w:r>
              <w:rPr>
                <w:rFonts w:ascii="Calibri" w:hAnsi="Calibri"/>
                <w:sz w:val="22"/>
              </w:rPr>
              <w:t>$636</w:t>
            </w:r>
          </w:p>
        </w:tc>
        <w:tc>
          <w:tcPr>
            <w:tcW w:type="dxa" w:w="1234"/>
          </w:tcPr>
          <w:p>
            <w:r>
              <w:rPr>
                <w:rFonts w:ascii="Calibri" w:hAnsi="Calibri"/>
                <w:sz w:val="22"/>
              </w:rPr>
              <w:t>+11.0%</w:t>
            </w:r>
          </w:p>
        </w:tc>
        <w:tc>
          <w:tcPr>
            <w:tcW w:type="dxa" w:w="1234"/>
          </w:tcPr>
          <w:p>
            <w:r>
              <w:rPr>
                <w:rFonts w:ascii="Calibri" w:hAnsi="Calibri"/>
                <w:sz w:val="22"/>
              </w:rPr>
              <w:t>~$2,500M (FY guide)</w:t>
            </w:r>
          </w:p>
        </w:tc>
        <w:tc>
          <w:tcPr>
            <w:tcW w:type="dxa" w:w="1234"/>
          </w:tcPr>
          <w:p>
            <w:r>
              <w:rPr>
                <w:rFonts w:ascii="Calibri" w:hAnsi="Calibri"/>
                <w:sz w:val="22"/>
              </w:rPr>
              <w:t>FY cons. $2,136M (below guide)</w:t>
            </w:r>
          </w:p>
        </w:tc>
      </w:tr>
    </w:tbl>
    <w:p>
      <w:r>
        <w:rPr>
          <w:rFonts w:ascii="Calibri" w:hAnsi="Calibri"/>
          <w:i/>
          <w:color w:val="525866"/>
          <w:sz w:val="22"/>
        </w:rPr>
        <w:t>Source: Visible Alpha Consensus and Actuals Data.</w:t>
      </w:r>
      <w:r>
        <w:rPr>
          <w:rFonts w:ascii="Calibri" w:hAnsi="Calibri"/>
          <w:i/>
          <w:color w:val="525866"/>
          <w:sz w:val="22"/>
        </w:rPr>
        <w:t xml:space="preserve"> Note: Q3 FY2026 = quarter ending June 30, 2026 (VA label: 3QFY-2026). Q2 FY2026 actual = quarter ending March 28, 2026. Q3 FY2025 actual = quarter ending June 30, 2025. FY2026 guidance midpoints per May 5, 2026 earnings call. Consensus estimates as of August 3, 2026.</w:t>
      </w:r>
    </w:p>
    <w:p>
      <w:pPr>
        <w:pStyle w:val="Heading2"/>
      </w:pPr>
      <w:r>
        <w:rPr>
          <w:rFonts w:ascii="Calibri" w:hAnsi="Calibri"/>
          <w:b/>
          <w:color w:val="3B4259"/>
          <w:sz w:val="28"/>
        </w:rPr>
        <w:t>Table 2 — Beat/Miss History: Last 8 Quarters (Top 2 KPIs: Net Sales &amp; Adj.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Q2 FY2026</w:t>
            </w:r>
          </w:p>
        </w:tc>
        <w:tc>
          <w:tcPr>
            <w:tcW w:type="dxa" w:w="1440"/>
          </w:tcPr>
          <w:p>
            <w:r>
              <w:rPr>
                <w:rFonts w:ascii="Calibri" w:hAnsi="Calibri"/>
                <w:sz w:val="22"/>
              </w:rPr>
              <w:t>Net Sales ($M)</w:t>
            </w:r>
          </w:p>
        </w:tc>
        <w:tc>
          <w:tcPr>
            <w:tcW w:type="dxa" w:w="1440"/>
          </w:tcPr>
          <w:p>
            <w:r>
              <w:rPr>
                <w:rFonts w:ascii="Calibri" w:hAnsi="Calibri"/>
                <w:sz w:val="22"/>
              </w:rPr>
              <w:t>$2,544</w:t>
            </w:r>
          </w:p>
        </w:tc>
        <w:tc>
          <w:tcPr>
            <w:tcW w:type="dxa" w:w="1440"/>
          </w:tcPr>
          <w:p>
            <w:r>
              <w:rPr>
                <w:rFonts w:ascii="Calibri" w:hAnsi="Calibri"/>
                <w:sz w:val="22"/>
              </w:rPr>
              <w:t>$2,467</w:t>
            </w:r>
          </w:p>
        </w:tc>
        <w:tc>
          <w:tcPr>
            <w:tcW w:type="dxa" w:w="1440"/>
          </w:tcPr>
          <w:p>
            <w:r>
              <w:rPr>
                <w:rFonts w:ascii="Calibri" w:hAnsi="Calibri"/>
                <w:b/>
                <w:color w:val="30A46C"/>
                <w:sz w:val="22"/>
              </w:rPr>
              <w:t>+3.1%</w:t>
            </w:r>
          </w:p>
        </w:tc>
        <w:tc>
          <w:tcPr>
            <w:tcW w:type="dxa" w:w="1440"/>
          </w:tcPr>
          <w:p>
            <w:r>
              <w:rPr>
                <w:rFonts w:ascii="Calibri" w:hAnsi="Calibri"/>
                <w:sz w:val="22"/>
              </w:rPr>
              <w:t>Beat</w:t>
            </w:r>
          </w:p>
        </w:tc>
      </w:tr>
      <w:tr>
        <w:tc>
          <w:tcPr>
            <w:tcW w:type="dxa" w:w="1440"/>
          </w:tcPr>
          <w:p>
            <w:r>
              <w:rPr>
                <w:rFonts w:ascii="Calibri" w:hAnsi="Calibri"/>
                <w:sz w:val="22"/>
              </w:rPr>
              <w:t>Q2 FY2026</w:t>
            </w:r>
          </w:p>
        </w:tc>
        <w:tc>
          <w:tcPr>
            <w:tcW w:type="dxa" w:w="1440"/>
          </w:tcPr>
          <w:p>
            <w:r>
              <w:rPr>
                <w:rFonts w:ascii="Calibri" w:hAnsi="Calibri"/>
                <w:sz w:val="22"/>
              </w:rPr>
              <w:t>Adj. EPS ($)</w:t>
            </w:r>
          </w:p>
        </w:tc>
        <w:tc>
          <w:tcPr>
            <w:tcW w:type="dxa" w:w="1440"/>
          </w:tcPr>
          <w:p>
            <w:r>
              <w:rPr>
                <w:rFonts w:ascii="Calibri" w:hAnsi="Calibri"/>
                <w:sz w:val="22"/>
              </w:rPr>
              <w:t>$9.85</w:t>
            </w:r>
          </w:p>
        </w:tc>
        <w:tc>
          <w:tcPr>
            <w:tcW w:type="dxa" w:w="1440"/>
          </w:tcPr>
          <w:p>
            <w:r>
              <w:rPr>
                <w:rFonts w:ascii="Calibri" w:hAnsi="Calibri"/>
                <w:sz w:val="22"/>
              </w:rPr>
              <w:t>$9.48</w:t>
            </w:r>
          </w:p>
        </w:tc>
        <w:tc>
          <w:tcPr>
            <w:tcW w:type="dxa" w:w="1440"/>
          </w:tcPr>
          <w:p>
            <w:r>
              <w:rPr>
                <w:rFonts w:ascii="Calibri" w:hAnsi="Calibri"/>
                <w:b/>
                <w:color w:val="30A46C"/>
                <w:sz w:val="22"/>
              </w:rPr>
              <w:t>+3.9%</w:t>
            </w:r>
          </w:p>
        </w:tc>
        <w:tc>
          <w:tcPr>
            <w:tcW w:type="dxa" w:w="1440"/>
          </w:tcPr>
          <w:p>
            <w:r>
              <w:rPr>
                <w:rFonts w:ascii="Calibri" w:hAnsi="Calibri"/>
                <w:sz w:val="22"/>
              </w:rPr>
              <w:t>Beat</w:t>
            </w:r>
          </w:p>
        </w:tc>
      </w:tr>
      <w:tr>
        <w:tc>
          <w:tcPr>
            <w:tcW w:type="dxa" w:w="1440"/>
          </w:tcPr>
          <w:p>
            <w:r>
              <w:rPr>
                <w:rFonts w:ascii="Calibri" w:hAnsi="Calibri"/>
                <w:sz w:val="22"/>
              </w:rPr>
              <w:t>Q1 FY2026</w:t>
            </w:r>
          </w:p>
        </w:tc>
        <w:tc>
          <w:tcPr>
            <w:tcW w:type="dxa" w:w="1440"/>
          </w:tcPr>
          <w:p>
            <w:r>
              <w:rPr>
                <w:rFonts w:ascii="Calibri" w:hAnsi="Calibri"/>
                <w:sz w:val="22"/>
              </w:rPr>
              <w:t>Net Sales ($M)</w:t>
            </w:r>
          </w:p>
        </w:tc>
        <w:tc>
          <w:tcPr>
            <w:tcW w:type="dxa" w:w="1440"/>
          </w:tcPr>
          <w:p>
            <w:r>
              <w:rPr>
                <w:rFonts w:ascii="Calibri" w:hAnsi="Calibri"/>
                <w:sz w:val="22"/>
              </w:rPr>
              <w:t>$2,285</w:t>
            </w:r>
          </w:p>
        </w:tc>
        <w:tc>
          <w:tcPr>
            <w:tcW w:type="dxa" w:w="1440"/>
          </w:tcPr>
          <w:p>
            <w:r>
              <w:rPr>
                <w:rFonts w:ascii="Calibri" w:hAnsi="Calibri"/>
                <w:sz w:val="22"/>
              </w:rPr>
              <w:t>$2,258</w:t>
            </w:r>
          </w:p>
        </w:tc>
        <w:tc>
          <w:tcPr>
            <w:tcW w:type="dxa" w:w="1440"/>
          </w:tcPr>
          <w:p>
            <w:r>
              <w:rPr>
                <w:rFonts w:ascii="Calibri" w:hAnsi="Calibri"/>
                <w:b/>
                <w:color w:val="30A46C"/>
                <w:sz w:val="22"/>
              </w:rPr>
              <w:t>+1.2%</w:t>
            </w:r>
          </w:p>
        </w:tc>
        <w:tc>
          <w:tcPr>
            <w:tcW w:type="dxa" w:w="1440"/>
          </w:tcPr>
          <w:p>
            <w:r>
              <w:rPr>
                <w:rFonts w:ascii="Calibri" w:hAnsi="Calibri"/>
                <w:sz w:val="22"/>
              </w:rPr>
              <w:t>Beat</w:t>
            </w:r>
          </w:p>
        </w:tc>
      </w:tr>
      <w:tr>
        <w:tc>
          <w:tcPr>
            <w:tcW w:type="dxa" w:w="1440"/>
          </w:tcPr>
          <w:p>
            <w:r>
              <w:rPr>
                <w:rFonts w:ascii="Calibri" w:hAnsi="Calibri"/>
                <w:sz w:val="22"/>
              </w:rPr>
              <w:t>Q1 FY2026</w:t>
            </w:r>
          </w:p>
        </w:tc>
        <w:tc>
          <w:tcPr>
            <w:tcW w:type="dxa" w:w="1440"/>
          </w:tcPr>
          <w:p>
            <w:r>
              <w:rPr>
                <w:rFonts w:ascii="Calibri" w:hAnsi="Calibri"/>
                <w:sz w:val="22"/>
              </w:rPr>
              <w:t>Adj. EPS ($)</w:t>
            </w:r>
          </w:p>
        </w:tc>
        <w:tc>
          <w:tcPr>
            <w:tcW w:type="dxa" w:w="1440"/>
          </w:tcPr>
          <w:p>
            <w:r>
              <w:rPr>
                <w:rFonts w:ascii="Calibri" w:hAnsi="Calibri"/>
                <w:sz w:val="22"/>
              </w:rPr>
              <w:t>$8.23</w:t>
            </w:r>
          </w:p>
        </w:tc>
        <w:tc>
          <w:tcPr>
            <w:tcW w:type="dxa" w:w="1440"/>
          </w:tcPr>
          <w:p>
            <w:r>
              <w:rPr>
                <w:rFonts w:ascii="Calibri" w:hAnsi="Calibri"/>
                <w:sz w:val="22"/>
              </w:rPr>
              <w:t>$8.03</w:t>
            </w:r>
          </w:p>
        </w:tc>
        <w:tc>
          <w:tcPr>
            <w:tcW w:type="dxa" w:w="1440"/>
          </w:tcPr>
          <w:p>
            <w:r>
              <w:rPr>
                <w:rFonts w:ascii="Calibri" w:hAnsi="Calibri"/>
                <w:b/>
                <w:color w:val="30A46C"/>
                <w:sz w:val="22"/>
              </w:rPr>
              <w:t>+2.5%</w:t>
            </w:r>
          </w:p>
        </w:tc>
        <w:tc>
          <w:tcPr>
            <w:tcW w:type="dxa" w:w="1440"/>
          </w:tcPr>
          <w:p>
            <w:r>
              <w:rPr>
                <w:rFonts w:ascii="Calibri" w:hAnsi="Calibri"/>
                <w:sz w:val="22"/>
              </w:rPr>
              <w:t>Beat</w:t>
            </w:r>
          </w:p>
        </w:tc>
      </w:tr>
      <w:tr>
        <w:tc>
          <w:tcPr>
            <w:tcW w:type="dxa" w:w="1440"/>
          </w:tcPr>
          <w:p>
            <w:r>
              <w:rPr>
                <w:rFonts w:ascii="Calibri" w:hAnsi="Calibri"/>
                <w:sz w:val="22"/>
              </w:rPr>
              <w:t>Q4 FY2025</w:t>
            </w:r>
          </w:p>
        </w:tc>
        <w:tc>
          <w:tcPr>
            <w:tcW w:type="dxa" w:w="1440"/>
          </w:tcPr>
          <w:p>
            <w:r>
              <w:rPr>
                <w:rFonts w:ascii="Calibri" w:hAnsi="Calibri"/>
                <w:sz w:val="22"/>
              </w:rPr>
              <w:t>Net Sales ($M)</w:t>
            </w:r>
          </w:p>
        </w:tc>
        <w:tc>
          <w:tcPr>
            <w:tcW w:type="dxa" w:w="1440"/>
          </w:tcPr>
          <w:p>
            <w:r>
              <w:rPr>
                <w:rFonts w:ascii="Calibri" w:hAnsi="Calibri"/>
                <w:sz w:val="22"/>
              </w:rPr>
              <w:t>$2,437</w:t>
            </w:r>
          </w:p>
        </w:tc>
        <w:tc>
          <w:tcPr>
            <w:tcW w:type="dxa" w:w="1440"/>
          </w:tcPr>
          <w:p>
            <w:r>
              <w:rPr>
                <w:rFonts w:ascii="Calibri" w:hAnsi="Calibri"/>
                <w:sz w:val="22"/>
              </w:rPr>
              <w:t>$2,400</w:t>
            </w:r>
          </w:p>
        </w:tc>
        <w:tc>
          <w:tcPr>
            <w:tcW w:type="dxa" w:w="1440"/>
          </w:tcPr>
          <w:p>
            <w:r>
              <w:rPr>
                <w:rFonts w:ascii="Calibri" w:hAnsi="Calibri"/>
                <w:b/>
                <w:color w:val="30A46C"/>
                <w:sz w:val="22"/>
              </w:rPr>
              <w:t>+1.5%</w:t>
            </w:r>
          </w:p>
        </w:tc>
        <w:tc>
          <w:tcPr>
            <w:tcW w:type="dxa" w:w="1440"/>
          </w:tcPr>
          <w:p>
            <w:r>
              <w:rPr>
                <w:rFonts w:ascii="Calibri" w:hAnsi="Calibri"/>
                <w:sz w:val="22"/>
              </w:rPr>
              <w:t>Beat</w:t>
            </w:r>
          </w:p>
        </w:tc>
      </w:tr>
      <w:tr>
        <w:tc>
          <w:tcPr>
            <w:tcW w:type="dxa" w:w="1440"/>
          </w:tcPr>
          <w:p>
            <w:r>
              <w:rPr>
                <w:rFonts w:ascii="Calibri" w:hAnsi="Calibri"/>
                <w:sz w:val="22"/>
              </w:rPr>
              <w:t>Q4 FY2025</w:t>
            </w:r>
          </w:p>
        </w:tc>
        <w:tc>
          <w:tcPr>
            <w:tcW w:type="dxa" w:w="1440"/>
          </w:tcPr>
          <w:p>
            <w:r>
              <w:rPr>
                <w:rFonts w:ascii="Calibri" w:hAnsi="Calibri"/>
                <w:sz w:val="22"/>
              </w:rPr>
              <w:t>Adj. EPS ($)</w:t>
            </w:r>
          </w:p>
        </w:tc>
        <w:tc>
          <w:tcPr>
            <w:tcW w:type="dxa" w:w="1440"/>
          </w:tcPr>
          <w:p>
            <w:r>
              <w:rPr>
                <w:rFonts w:ascii="Calibri" w:hAnsi="Calibri"/>
                <w:sz w:val="22"/>
              </w:rPr>
              <w:t>$10.82</w:t>
            </w:r>
          </w:p>
        </w:tc>
        <w:tc>
          <w:tcPr>
            <w:tcW w:type="dxa" w:w="1440"/>
          </w:tcPr>
          <w:p>
            <w:r>
              <w:rPr>
                <w:rFonts w:ascii="Calibri" w:hAnsi="Calibri"/>
                <w:sz w:val="22"/>
              </w:rPr>
              <w:t>$9.998</w:t>
            </w:r>
          </w:p>
        </w:tc>
        <w:tc>
          <w:tcPr>
            <w:tcW w:type="dxa" w:w="1440"/>
          </w:tcPr>
          <w:p>
            <w:r>
              <w:rPr>
                <w:rFonts w:ascii="Calibri" w:hAnsi="Calibri"/>
                <w:b/>
                <w:color w:val="30A46C"/>
                <w:sz w:val="22"/>
              </w:rPr>
              <w:t>+8.2%</w:t>
            </w:r>
          </w:p>
        </w:tc>
        <w:tc>
          <w:tcPr>
            <w:tcW w:type="dxa" w:w="1440"/>
          </w:tcPr>
          <w:p>
            <w:r>
              <w:rPr>
                <w:rFonts w:ascii="Calibri" w:hAnsi="Calibri"/>
                <w:sz w:val="22"/>
              </w:rPr>
              <w:t>Beat</w:t>
            </w:r>
          </w:p>
        </w:tc>
      </w:tr>
      <w:tr>
        <w:tc>
          <w:tcPr>
            <w:tcW w:type="dxa" w:w="1440"/>
          </w:tcPr>
          <w:p>
            <w:r>
              <w:rPr>
                <w:rFonts w:ascii="Calibri" w:hAnsi="Calibri"/>
                <w:sz w:val="22"/>
              </w:rPr>
              <w:t>Q3 FY2025</w:t>
            </w:r>
          </w:p>
        </w:tc>
        <w:tc>
          <w:tcPr>
            <w:tcW w:type="dxa" w:w="1440"/>
          </w:tcPr>
          <w:p>
            <w:r>
              <w:rPr>
                <w:rFonts w:ascii="Calibri" w:hAnsi="Calibri"/>
                <w:sz w:val="22"/>
              </w:rPr>
              <w:t>Net Sales ($M)</w:t>
            </w:r>
          </w:p>
        </w:tc>
        <w:tc>
          <w:tcPr>
            <w:tcW w:type="dxa" w:w="1440"/>
          </w:tcPr>
          <w:p>
            <w:r>
              <w:rPr>
                <w:rFonts w:ascii="Calibri" w:hAnsi="Calibri"/>
                <w:sz w:val="22"/>
              </w:rPr>
              <w:t>$2,237</w:t>
            </w:r>
          </w:p>
        </w:tc>
        <w:tc>
          <w:tcPr>
            <w:tcW w:type="dxa" w:w="1440"/>
          </w:tcPr>
          <w:p>
            <w:r>
              <w:rPr>
                <w:rFonts w:ascii="Calibri" w:hAnsi="Calibri"/>
                <w:sz w:val="22"/>
              </w:rPr>
              <w:t>$2,301</w:t>
            </w:r>
          </w:p>
        </w:tc>
        <w:tc>
          <w:tcPr>
            <w:tcW w:type="dxa" w:w="1440"/>
          </w:tcPr>
          <w:p>
            <w:r>
              <w:rPr>
                <w:rFonts w:ascii="Calibri" w:hAnsi="Calibri"/>
                <w:b/>
                <w:color w:val="E5484D"/>
                <w:sz w:val="22"/>
              </w:rPr>
              <w:t>-2.8%</w:t>
            </w:r>
          </w:p>
        </w:tc>
        <w:tc>
          <w:tcPr>
            <w:tcW w:type="dxa" w:w="1440"/>
          </w:tcPr>
          <w:p>
            <w:r>
              <w:rPr>
                <w:rFonts w:ascii="Calibri" w:hAnsi="Calibri"/>
                <w:sz w:val="22"/>
              </w:rPr>
              <w:t>Miss</w:t>
            </w:r>
          </w:p>
        </w:tc>
      </w:tr>
      <w:tr>
        <w:tc>
          <w:tcPr>
            <w:tcW w:type="dxa" w:w="1440"/>
          </w:tcPr>
          <w:p>
            <w:r>
              <w:rPr>
                <w:rFonts w:ascii="Calibri" w:hAnsi="Calibri"/>
                <w:sz w:val="22"/>
              </w:rPr>
              <w:t>Q3 FY2025</w:t>
            </w:r>
          </w:p>
        </w:tc>
        <w:tc>
          <w:tcPr>
            <w:tcW w:type="dxa" w:w="1440"/>
          </w:tcPr>
          <w:p>
            <w:r>
              <w:rPr>
                <w:rFonts w:ascii="Calibri" w:hAnsi="Calibri"/>
                <w:sz w:val="22"/>
              </w:rPr>
              <w:t>Adj. EPS ($)</w:t>
            </w:r>
          </w:p>
        </w:tc>
        <w:tc>
          <w:tcPr>
            <w:tcW w:type="dxa" w:w="1440"/>
          </w:tcPr>
          <w:p>
            <w:r>
              <w:rPr>
                <w:rFonts w:ascii="Calibri" w:hAnsi="Calibri"/>
                <w:sz w:val="22"/>
              </w:rPr>
              <w:t>$9.60</w:t>
            </w:r>
          </w:p>
        </w:tc>
        <w:tc>
          <w:tcPr>
            <w:tcW w:type="dxa" w:w="1440"/>
          </w:tcPr>
          <w:p>
            <w:r>
              <w:rPr>
                <w:rFonts w:ascii="Calibri" w:hAnsi="Calibri"/>
                <w:sz w:val="22"/>
              </w:rPr>
              <w:t>$9.839</w:t>
            </w:r>
          </w:p>
        </w:tc>
        <w:tc>
          <w:tcPr>
            <w:tcW w:type="dxa" w:w="1440"/>
          </w:tcPr>
          <w:p>
            <w:r>
              <w:rPr>
                <w:rFonts w:ascii="Calibri" w:hAnsi="Calibri"/>
                <w:b/>
                <w:color w:val="E5484D"/>
                <w:sz w:val="22"/>
              </w:rPr>
              <w:t>-2.4%</w:t>
            </w:r>
          </w:p>
        </w:tc>
        <w:tc>
          <w:tcPr>
            <w:tcW w:type="dxa" w:w="1440"/>
          </w:tcPr>
          <w:p>
            <w:r>
              <w:rPr>
                <w:rFonts w:ascii="Calibri" w:hAnsi="Calibri"/>
                <w:sz w:val="22"/>
              </w:rPr>
              <w:t>Miss</w:t>
            </w:r>
          </w:p>
        </w:tc>
      </w:tr>
      <w:tr>
        <w:tc>
          <w:tcPr>
            <w:tcW w:type="dxa" w:w="1440"/>
          </w:tcPr>
          <w:p>
            <w:r>
              <w:rPr>
                <w:rFonts w:ascii="Calibri" w:hAnsi="Calibri"/>
                <w:sz w:val="22"/>
              </w:rPr>
              <w:t>Q2 FY2025</w:t>
            </w:r>
          </w:p>
        </w:tc>
        <w:tc>
          <w:tcPr>
            <w:tcW w:type="dxa" w:w="1440"/>
          </w:tcPr>
          <w:p>
            <w:r>
              <w:rPr>
                <w:rFonts w:ascii="Calibri" w:hAnsi="Calibri"/>
                <w:sz w:val="22"/>
              </w:rPr>
              <w:t>Net Sales ($M)</w:t>
            </w:r>
          </w:p>
        </w:tc>
        <w:tc>
          <w:tcPr>
            <w:tcW w:type="dxa" w:w="1440"/>
          </w:tcPr>
          <w:p>
            <w:r>
              <w:rPr>
                <w:rFonts w:ascii="Calibri" w:hAnsi="Calibri"/>
                <w:sz w:val="22"/>
              </w:rPr>
              <w:t>$2,150</w:t>
            </w:r>
          </w:p>
        </w:tc>
        <w:tc>
          <w:tcPr>
            <w:tcW w:type="dxa" w:w="1440"/>
          </w:tcPr>
          <w:p>
            <w:r>
              <w:rPr>
                <w:rFonts w:ascii="Calibri" w:hAnsi="Calibri"/>
                <w:sz w:val="22"/>
              </w:rPr>
              <w:t>$2,165</w:t>
            </w:r>
          </w:p>
        </w:tc>
        <w:tc>
          <w:tcPr>
            <w:tcW w:type="dxa" w:w="1440"/>
          </w:tcPr>
          <w:p>
            <w:r>
              <w:rPr>
                <w:rFonts w:ascii="Calibri" w:hAnsi="Calibri"/>
                <w:b/>
                <w:color w:val="E5484D"/>
                <w:sz w:val="22"/>
              </w:rPr>
              <w:t>-0.7%</w:t>
            </w:r>
          </w:p>
        </w:tc>
        <w:tc>
          <w:tcPr>
            <w:tcW w:type="dxa" w:w="1440"/>
          </w:tcPr>
          <w:p>
            <w:r>
              <w:rPr>
                <w:rFonts w:ascii="Calibri" w:hAnsi="Calibri"/>
                <w:sz w:val="22"/>
              </w:rPr>
              <w:t>Miss</w:t>
            </w:r>
          </w:p>
        </w:tc>
      </w:tr>
      <w:tr>
        <w:tc>
          <w:tcPr>
            <w:tcW w:type="dxa" w:w="1440"/>
          </w:tcPr>
          <w:p>
            <w:r>
              <w:rPr>
                <w:rFonts w:ascii="Calibri" w:hAnsi="Calibri"/>
                <w:sz w:val="22"/>
              </w:rPr>
              <w:t>Q2 FY2025</w:t>
            </w:r>
          </w:p>
        </w:tc>
        <w:tc>
          <w:tcPr>
            <w:tcW w:type="dxa" w:w="1440"/>
          </w:tcPr>
          <w:p>
            <w:r>
              <w:rPr>
                <w:rFonts w:ascii="Calibri" w:hAnsi="Calibri"/>
                <w:sz w:val="22"/>
              </w:rPr>
              <w:t>Adj. EPS ($)</w:t>
            </w:r>
          </w:p>
        </w:tc>
        <w:tc>
          <w:tcPr>
            <w:tcW w:type="dxa" w:w="1440"/>
          </w:tcPr>
          <w:p>
            <w:r>
              <w:rPr>
                <w:rFonts w:ascii="Calibri" w:hAnsi="Calibri"/>
                <w:sz w:val="22"/>
              </w:rPr>
              <w:t>$9.11</w:t>
            </w:r>
          </w:p>
        </w:tc>
        <w:tc>
          <w:tcPr>
            <w:tcW w:type="dxa" w:w="1440"/>
          </w:tcPr>
          <w:p>
            <w:r>
              <w:rPr>
                <w:rFonts w:ascii="Calibri" w:hAnsi="Calibri"/>
                <w:sz w:val="22"/>
              </w:rPr>
              <w:t>$8.924</w:t>
            </w:r>
          </w:p>
        </w:tc>
        <w:tc>
          <w:tcPr>
            <w:tcW w:type="dxa" w:w="1440"/>
          </w:tcPr>
          <w:p>
            <w:r>
              <w:rPr>
                <w:rFonts w:ascii="Calibri" w:hAnsi="Calibri"/>
                <w:b/>
                <w:color w:val="30A46C"/>
                <w:sz w:val="22"/>
              </w:rPr>
              <w:t>+2.1%</w:t>
            </w:r>
          </w:p>
        </w:tc>
        <w:tc>
          <w:tcPr>
            <w:tcW w:type="dxa" w:w="1440"/>
          </w:tcPr>
          <w:p>
            <w:r>
              <w:rPr>
                <w:rFonts w:ascii="Calibri" w:hAnsi="Calibri"/>
                <w:sz w:val="22"/>
              </w:rPr>
              <w:t>Beat</w:t>
            </w:r>
          </w:p>
        </w:tc>
      </w:tr>
      <w:tr>
        <w:tc>
          <w:tcPr>
            <w:tcW w:type="dxa" w:w="1440"/>
          </w:tcPr>
          <w:p>
            <w:r>
              <w:rPr>
                <w:rFonts w:ascii="Calibri" w:hAnsi="Calibri"/>
                <w:sz w:val="22"/>
              </w:rPr>
              <w:t>Q1 FY2025</w:t>
            </w:r>
          </w:p>
        </w:tc>
        <w:tc>
          <w:tcPr>
            <w:tcW w:type="dxa" w:w="1440"/>
          </w:tcPr>
          <w:p>
            <w:r>
              <w:rPr>
                <w:rFonts w:ascii="Calibri" w:hAnsi="Calibri"/>
                <w:sz w:val="22"/>
              </w:rPr>
              <w:t>Net Sales ($M)</w:t>
            </w:r>
          </w:p>
        </w:tc>
        <w:tc>
          <w:tcPr>
            <w:tcW w:type="dxa" w:w="1440"/>
          </w:tcPr>
          <w:p>
            <w:r>
              <w:rPr>
                <w:rFonts w:ascii="Calibri" w:hAnsi="Calibri"/>
                <w:sz w:val="22"/>
              </w:rPr>
              <w:t>$2,006</w:t>
            </w:r>
          </w:p>
        </w:tc>
        <w:tc>
          <w:tcPr>
            <w:tcW w:type="dxa" w:w="1440"/>
          </w:tcPr>
          <w:p>
            <w:r>
              <w:rPr>
                <w:rFonts w:ascii="Calibri" w:hAnsi="Calibri"/>
                <w:sz w:val="22"/>
              </w:rPr>
              <w:t>$2,036</w:t>
            </w:r>
          </w:p>
        </w:tc>
        <w:tc>
          <w:tcPr>
            <w:tcW w:type="dxa" w:w="1440"/>
          </w:tcPr>
          <w:p>
            <w:r>
              <w:rPr>
                <w:rFonts w:ascii="Calibri" w:hAnsi="Calibri"/>
                <w:b/>
                <w:color w:val="E5484D"/>
                <w:sz w:val="22"/>
              </w:rPr>
              <w:t>-1.5%</w:t>
            </w:r>
          </w:p>
        </w:tc>
        <w:tc>
          <w:tcPr>
            <w:tcW w:type="dxa" w:w="1440"/>
          </w:tcPr>
          <w:p>
            <w:r>
              <w:rPr>
                <w:rFonts w:ascii="Calibri" w:hAnsi="Calibri"/>
                <w:sz w:val="22"/>
              </w:rPr>
              <w:t>Miss</w:t>
            </w:r>
          </w:p>
        </w:tc>
      </w:tr>
      <w:tr>
        <w:tc>
          <w:tcPr>
            <w:tcW w:type="dxa" w:w="1440"/>
          </w:tcPr>
          <w:p>
            <w:r>
              <w:rPr>
                <w:rFonts w:ascii="Calibri" w:hAnsi="Calibri"/>
                <w:sz w:val="22"/>
              </w:rPr>
              <w:t>Q1 FY2025</w:t>
            </w:r>
          </w:p>
        </w:tc>
        <w:tc>
          <w:tcPr>
            <w:tcW w:type="dxa" w:w="1440"/>
          </w:tcPr>
          <w:p>
            <w:r>
              <w:rPr>
                <w:rFonts w:ascii="Calibri" w:hAnsi="Calibri"/>
                <w:sz w:val="22"/>
              </w:rPr>
              <w:t>Adj. EPS ($)</w:t>
            </w:r>
          </w:p>
        </w:tc>
        <w:tc>
          <w:tcPr>
            <w:tcW w:type="dxa" w:w="1440"/>
          </w:tcPr>
          <w:p>
            <w:r>
              <w:rPr>
                <w:rFonts w:ascii="Calibri" w:hAnsi="Calibri"/>
                <w:sz w:val="22"/>
              </w:rPr>
              <w:t>$7.83</w:t>
            </w:r>
          </w:p>
        </w:tc>
        <w:tc>
          <w:tcPr>
            <w:tcW w:type="dxa" w:w="1440"/>
          </w:tcPr>
          <w:p>
            <w:r>
              <w:rPr>
                <w:rFonts w:ascii="Calibri" w:hAnsi="Calibri"/>
                <w:sz w:val="22"/>
              </w:rPr>
              <w:t>$7.699</w:t>
            </w:r>
          </w:p>
        </w:tc>
        <w:tc>
          <w:tcPr>
            <w:tcW w:type="dxa" w:w="1440"/>
          </w:tcPr>
          <w:p>
            <w:r>
              <w:rPr>
                <w:rFonts w:ascii="Calibri" w:hAnsi="Calibri"/>
                <w:b/>
                <w:color w:val="30A46C"/>
                <w:sz w:val="22"/>
              </w:rPr>
              <w:t>+1.7%</w:t>
            </w:r>
          </w:p>
        </w:tc>
        <w:tc>
          <w:tcPr>
            <w:tcW w:type="dxa" w:w="1440"/>
          </w:tcPr>
          <w:p>
            <w:r>
              <w:rPr>
                <w:rFonts w:ascii="Calibri" w:hAnsi="Calibri"/>
                <w:sz w:val="22"/>
              </w:rPr>
              <w:t>Beat</w:t>
            </w:r>
          </w:p>
        </w:tc>
      </w:tr>
      <w:tr>
        <w:tc>
          <w:tcPr>
            <w:tcW w:type="dxa" w:w="1440"/>
          </w:tcPr>
          <w:p>
            <w:r>
              <w:rPr>
                <w:rFonts w:ascii="Calibri" w:hAnsi="Calibri"/>
                <w:sz w:val="22"/>
              </w:rPr>
              <w:t>Q4 FY2024</w:t>
            </w:r>
          </w:p>
        </w:tc>
        <w:tc>
          <w:tcPr>
            <w:tcW w:type="dxa" w:w="1440"/>
          </w:tcPr>
          <w:p>
            <w:r>
              <w:rPr>
                <w:rFonts w:ascii="Calibri" w:hAnsi="Calibri"/>
                <w:sz w:val="22"/>
              </w:rPr>
              <w:t>Net Sales ($M)</w:t>
            </w:r>
          </w:p>
        </w:tc>
        <w:tc>
          <w:tcPr>
            <w:tcW w:type="dxa" w:w="1440"/>
          </w:tcPr>
          <w:p>
            <w:r>
              <w:rPr>
                <w:rFonts w:ascii="Calibri" w:hAnsi="Calibri"/>
                <w:sz w:val="22"/>
              </w:rPr>
              <w:t>$2,185</w:t>
            </w:r>
          </w:p>
        </w:tc>
        <w:tc>
          <w:tcPr>
            <w:tcW w:type="dxa" w:w="1440"/>
          </w:tcPr>
          <w:p>
            <w:r>
              <w:rPr>
                <w:rFonts w:ascii="Calibri" w:hAnsi="Calibri"/>
                <w:sz w:val="22"/>
              </w:rPr>
              <w:t>$2,145</w:t>
            </w:r>
          </w:p>
        </w:tc>
        <w:tc>
          <w:tcPr>
            <w:tcW w:type="dxa" w:w="1440"/>
          </w:tcPr>
          <w:p>
            <w:r>
              <w:rPr>
                <w:rFonts w:ascii="Calibri" w:hAnsi="Calibri"/>
                <w:b/>
                <w:color w:val="30A46C"/>
                <w:sz w:val="22"/>
              </w:rPr>
              <w:t>+1.9%</w:t>
            </w:r>
          </w:p>
        </w:tc>
        <w:tc>
          <w:tcPr>
            <w:tcW w:type="dxa" w:w="1440"/>
          </w:tcPr>
          <w:p>
            <w:r>
              <w:rPr>
                <w:rFonts w:ascii="Calibri" w:hAnsi="Calibri"/>
                <w:sz w:val="22"/>
              </w:rPr>
              <w:t>Beat</w:t>
            </w:r>
          </w:p>
        </w:tc>
      </w:tr>
      <w:tr>
        <w:tc>
          <w:tcPr>
            <w:tcW w:type="dxa" w:w="1440"/>
          </w:tcPr>
          <w:p>
            <w:r>
              <w:rPr>
                <w:rFonts w:ascii="Calibri" w:hAnsi="Calibri"/>
                <w:sz w:val="22"/>
              </w:rPr>
              <w:t>Q4 FY2024</w:t>
            </w:r>
          </w:p>
        </w:tc>
        <w:tc>
          <w:tcPr>
            <w:tcW w:type="dxa" w:w="1440"/>
          </w:tcPr>
          <w:p>
            <w:r>
              <w:rPr>
                <w:rFonts w:ascii="Calibri" w:hAnsi="Calibri"/>
                <w:sz w:val="22"/>
              </w:rPr>
              <w:t>Adj. EPS ($)</w:t>
            </w:r>
          </w:p>
        </w:tc>
        <w:tc>
          <w:tcPr>
            <w:tcW w:type="dxa" w:w="1440"/>
          </w:tcPr>
          <w:p>
            <w:r>
              <w:rPr>
                <w:rFonts w:ascii="Calibri" w:hAnsi="Calibri"/>
                <w:sz w:val="22"/>
              </w:rPr>
              <w:t>$9.83</w:t>
            </w:r>
          </w:p>
        </w:tc>
        <w:tc>
          <w:tcPr>
            <w:tcW w:type="dxa" w:w="1440"/>
          </w:tcPr>
          <w:p>
            <w:r>
              <w:rPr>
                <w:rFonts w:ascii="Calibri" w:hAnsi="Calibri"/>
                <w:sz w:val="22"/>
              </w:rPr>
              <w:t>$9.057</w:t>
            </w:r>
          </w:p>
        </w:tc>
        <w:tc>
          <w:tcPr>
            <w:tcW w:type="dxa" w:w="1440"/>
          </w:tcPr>
          <w:p>
            <w:r>
              <w:rPr>
                <w:rFonts w:ascii="Calibri" w:hAnsi="Calibri"/>
                <w:b/>
                <w:color w:val="30A46C"/>
                <w:sz w:val="22"/>
              </w:rPr>
              <w:t>+8.5%</w:t>
            </w:r>
          </w:p>
        </w:tc>
        <w:tc>
          <w:tcPr>
            <w:tcW w:type="dxa" w:w="1440"/>
          </w:tcPr>
          <w:p>
            <w:r>
              <w:rPr>
                <w:rFonts w:ascii="Calibri" w:hAnsi="Calibri"/>
                <w:sz w:val="22"/>
              </w:rPr>
              <w:t>Beat</w:t>
            </w:r>
          </w:p>
        </w:tc>
      </w:tr>
      <w:tr>
        <w:tc>
          <w:tcPr>
            <w:tcW w:type="dxa" w:w="1440"/>
          </w:tcPr>
          <w:p>
            <w:r>
              <w:rPr>
                <w:rFonts w:ascii="Calibri" w:hAnsi="Calibri"/>
                <w:sz w:val="22"/>
              </w:rPr>
              <w:t>Q3 FY2024</w:t>
            </w:r>
          </w:p>
        </w:tc>
        <w:tc>
          <w:tcPr>
            <w:tcW w:type="dxa" w:w="1440"/>
          </w:tcPr>
          <w:p>
            <w:r>
              <w:rPr>
                <w:rFonts w:ascii="Calibri" w:hAnsi="Calibri"/>
                <w:sz w:val="22"/>
              </w:rPr>
              <w:t>Net Sales ($M)</w:t>
            </w:r>
          </w:p>
        </w:tc>
        <w:tc>
          <w:tcPr>
            <w:tcW w:type="dxa" w:w="1440"/>
          </w:tcPr>
          <w:p>
            <w:r>
              <w:rPr>
                <w:rFonts w:ascii="Calibri" w:hAnsi="Calibri"/>
                <w:sz w:val="22"/>
              </w:rPr>
              <w:t>$2,046</w:t>
            </w:r>
          </w:p>
        </w:tc>
        <w:tc>
          <w:tcPr>
            <w:tcW w:type="dxa" w:w="1440"/>
          </w:tcPr>
          <w:p>
            <w:r>
              <w:rPr>
                <w:rFonts w:ascii="Calibri" w:hAnsi="Calibri"/>
                <w:sz w:val="22"/>
              </w:rPr>
              <w:t>$2,004</w:t>
            </w:r>
          </w:p>
        </w:tc>
        <w:tc>
          <w:tcPr>
            <w:tcW w:type="dxa" w:w="1440"/>
          </w:tcPr>
          <w:p>
            <w:r>
              <w:rPr>
                <w:rFonts w:ascii="Calibri" w:hAnsi="Calibri"/>
                <w:b/>
                <w:color w:val="30A46C"/>
                <w:sz w:val="22"/>
              </w:rPr>
              <w:t>+2.1%</w:t>
            </w:r>
          </w:p>
        </w:tc>
        <w:tc>
          <w:tcPr>
            <w:tcW w:type="dxa" w:w="1440"/>
          </w:tcPr>
          <w:p>
            <w:r>
              <w:rPr>
                <w:rFonts w:ascii="Calibri" w:hAnsi="Calibri"/>
                <w:sz w:val="22"/>
              </w:rPr>
              <w:t>Beat</w:t>
            </w:r>
          </w:p>
        </w:tc>
      </w:tr>
      <w:tr>
        <w:tc>
          <w:tcPr>
            <w:tcW w:type="dxa" w:w="1440"/>
          </w:tcPr>
          <w:p>
            <w:r>
              <w:rPr>
                <w:rFonts w:ascii="Calibri" w:hAnsi="Calibri"/>
                <w:sz w:val="22"/>
              </w:rPr>
              <w:t>Q3 FY2024</w:t>
            </w:r>
          </w:p>
        </w:tc>
        <w:tc>
          <w:tcPr>
            <w:tcW w:type="dxa" w:w="1440"/>
          </w:tcPr>
          <w:p>
            <w:r>
              <w:rPr>
                <w:rFonts w:ascii="Calibri" w:hAnsi="Calibri"/>
                <w:sz w:val="22"/>
              </w:rPr>
              <w:t>Adj. EPS ($)</w:t>
            </w:r>
          </w:p>
        </w:tc>
        <w:tc>
          <w:tcPr>
            <w:tcW w:type="dxa" w:w="1440"/>
          </w:tcPr>
          <w:p>
            <w:r>
              <w:rPr>
                <w:rFonts w:ascii="Calibri" w:hAnsi="Calibri"/>
                <w:sz w:val="22"/>
              </w:rPr>
              <w:t>$9.00</w:t>
            </w:r>
          </w:p>
        </w:tc>
        <w:tc>
          <w:tcPr>
            <w:tcW w:type="dxa" w:w="1440"/>
          </w:tcPr>
          <w:p>
            <w:r>
              <w:rPr>
                <w:rFonts w:ascii="Calibri" w:hAnsi="Calibri"/>
                <w:sz w:val="22"/>
              </w:rPr>
              <w:t>$8.499</w:t>
            </w:r>
          </w:p>
        </w:tc>
        <w:tc>
          <w:tcPr>
            <w:tcW w:type="dxa" w:w="1440"/>
          </w:tcPr>
          <w:p>
            <w:r>
              <w:rPr>
                <w:rFonts w:ascii="Calibri" w:hAnsi="Calibri"/>
                <w:b/>
                <w:color w:val="30A46C"/>
                <w:sz w:val="22"/>
              </w:rPr>
              <w:t>+5.9%</w:t>
            </w:r>
          </w:p>
        </w:tc>
        <w:tc>
          <w:tcPr>
            <w:tcW w:type="dxa" w:w="1440"/>
          </w:tcPr>
          <w:p>
            <w:r>
              <w:rPr>
                <w:rFonts w:ascii="Calibri" w:hAnsi="Calibri"/>
                <w:sz w:val="22"/>
              </w:rPr>
              <w:t>Beat</w:t>
            </w:r>
          </w:p>
        </w:tc>
      </w:tr>
    </w:tbl>
    <w:p>
      <w:r>
        <w:rPr>
          <w:rFonts w:ascii="Calibri" w:hAnsi="Calibri"/>
          <w:i/>
          <w:color w:val="525866"/>
          <w:sz w:val="22"/>
        </w:rPr>
        <w:t>Source: Visible Alpha Consensus and Actuals Data.</w:t>
      </w:r>
      <w:r>
        <w:rPr>
          <w:rFonts w:ascii="Calibri" w:hAnsi="Calibri"/>
          <w:i/>
          <w:color w:val="525866"/>
          <w:sz w:val="22"/>
        </w:rPr>
        <w:t xml:space="preserve"> TDG has beaten on both revenue and EPS in 6 of the last 8 quarters; the two misses (Q3 FY2025 and Q2 FY2025 revenue) coincided with the peak of distributor destocking headwinds, which management has since described as largely resolved. The consistent EPS beat pattern (7 of 8 quarters) reflects TDG’s proprietary pricing power and decentralized cost discipline.</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No formal guidance revision has been issued since the May 5 earnings call; the baseline remains the materially raised FY2026 guidance from that print. </w:t>
      </w:r>
      <w:r>
        <w:rPr>
          <w:rFonts w:ascii="Calibri" w:hAnsi="Calibri"/>
          <w:b/>
          <w:color w:val="525866"/>
          <w:sz w:val="22"/>
        </w:rPr>
        <w:t>Tone is constructive but watchful on Middle East flight activity.</w:t>
      </w:r>
    </w:p>
    <w:p>
      <w:r>
        <w:rPr>
          <w:rFonts w:ascii="Calibri" w:hAnsi="Calibri"/>
          <w:color w:val="525866"/>
          <w:sz w:val="22"/>
        </w:rPr>
        <w:t>Baseline is the May 5, 2026 Q2 FY2026 earnings call. No post-earnings 8-K, conference, or investor day has revised the financial guidance ranges. The Stellant withdrawal (July 13) and Prince &amp; Izant acquisition announcement (July 27) are capital allocation events, not guidance revisions. The FY2026 guidance issued on May 5 already excluded Stellant; Prince &amp; Izant is pending regulatory approval and not yet in guidance.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(Feb 3, 2026 — Q1 FY2026 Call)</w:t>
            </w:r>
          </w:p>
        </w:tc>
        <w:tc>
          <w:tcPr>
            <w:tcW w:type="dxa" w:w="1728"/>
            <w:shd w:val="clear" w:color="auto" w:fill="3B4259"/>
          </w:tcPr>
          <w:p>
            <w:r>
              <w:rPr>
                <w:rFonts w:ascii="Calibri" w:hAnsi="Calibri"/>
                <w:b/>
                <w:color w:val="FFFFFF"/>
                <w:sz w:val="22"/>
              </w:rPr>
              <w:t>Revised Guidance (May 5, 2026 — Q2 FY2026 Call)</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Net Sales</w:t>
            </w:r>
          </w:p>
        </w:tc>
        <w:tc>
          <w:tcPr>
            <w:tcW w:type="dxa" w:w="1728"/>
          </w:tcPr>
          <w:p>
            <w:r>
              <w:rPr>
                <w:rFonts w:ascii="Calibri" w:hAnsi="Calibri"/>
                <w:sz w:val="22"/>
              </w:rPr>
              <w:t>$9,845M – $10,035M</w:t>
            </w:r>
          </w:p>
        </w:tc>
        <w:tc>
          <w:tcPr>
            <w:tcW w:type="dxa" w:w="1728"/>
          </w:tcPr>
          <w:p>
            <w:r>
              <w:rPr>
                <w:rFonts w:ascii="Calibri" w:hAnsi="Calibri"/>
                <w:sz w:val="22"/>
              </w:rPr>
              <w:t>$10,270M – $10,470M (midpoint $10,370M)</w:t>
            </w:r>
          </w:p>
        </w:tc>
        <w:tc>
          <w:tcPr>
            <w:tcW w:type="dxa" w:w="1728"/>
          </w:tcPr>
          <w:p>
            <w:r>
              <w:rPr>
                <w:rFonts w:ascii="Calibri" w:hAnsi="Calibri"/>
                <w:sz w:val="22"/>
              </w:rPr>
              <w:t>$10,382M</w:t>
            </w:r>
          </w:p>
        </w:tc>
        <w:tc>
          <w:tcPr>
            <w:tcW w:type="dxa" w:w="1728"/>
          </w:tcPr>
          <w:p>
            <w:r>
              <w:rPr>
                <w:rFonts w:ascii="Calibri" w:hAnsi="Calibri"/>
                <w:sz w:val="22"/>
              </w:rPr>
              <w:t>↑ Raised May 5; midpoint +$420M vs. initial; consensus ~in line with midpoint</w:t>
            </w:r>
          </w:p>
        </w:tc>
      </w:tr>
      <w:tr>
        <w:tc>
          <w:tcPr>
            <w:tcW w:type="dxa" w:w="1728"/>
          </w:tcPr>
          <w:p>
            <w:r>
              <w:rPr>
                <w:rFonts w:ascii="Calibri" w:hAnsi="Calibri"/>
                <w:sz w:val="22"/>
              </w:rPr>
              <w:t>FY2026 EBITDA As Defined</w:t>
            </w:r>
          </w:p>
        </w:tc>
        <w:tc>
          <w:tcPr>
            <w:tcW w:type="dxa" w:w="1728"/>
          </w:tcPr>
          <w:p>
            <w:r>
              <w:rPr>
                <w:rFonts w:ascii="Calibri" w:hAnsi="Calibri"/>
                <w:sz w:val="22"/>
              </w:rPr>
              <w:t>$5,140M – $5,280M</w:t>
            </w:r>
          </w:p>
        </w:tc>
        <w:tc>
          <w:tcPr>
            <w:tcW w:type="dxa" w:w="1728"/>
          </w:tcPr>
          <w:p>
            <w:r>
              <w:rPr>
                <w:rFonts w:ascii="Calibri" w:hAnsi="Calibri"/>
                <w:sz w:val="22"/>
              </w:rPr>
              <w:t>$5,330M – $5,510M (midpoint $5,420M)</w:t>
            </w:r>
          </w:p>
        </w:tc>
        <w:tc>
          <w:tcPr>
            <w:tcW w:type="dxa" w:w="1728"/>
          </w:tcPr>
          <w:p>
            <w:r>
              <w:rPr>
                <w:rFonts w:ascii="Calibri" w:hAnsi="Calibri"/>
                <w:sz w:val="22"/>
              </w:rPr>
              <w:t>$5,444M</w:t>
            </w:r>
          </w:p>
        </w:tc>
        <w:tc>
          <w:tcPr>
            <w:tcW w:type="dxa" w:w="1728"/>
          </w:tcPr>
          <w:p>
            <w:r>
              <w:rPr>
                <w:rFonts w:ascii="Calibri" w:hAnsi="Calibri"/>
                <w:sz w:val="22"/>
              </w:rPr>
              <w:t>↑ Raised May 5; midpoint +$210M vs. initial; consensus slightly above midpoint</w:t>
            </w:r>
          </w:p>
        </w:tc>
      </w:tr>
      <w:tr>
        <w:tc>
          <w:tcPr>
            <w:tcW w:type="dxa" w:w="1728"/>
          </w:tcPr>
          <w:p>
            <w:r>
              <w:rPr>
                <w:rFonts w:ascii="Calibri" w:hAnsi="Calibri"/>
                <w:sz w:val="22"/>
              </w:rPr>
              <w:t>FY2026 Adj. EPS</w:t>
            </w:r>
          </w:p>
        </w:tc>
        <w:tc>
          <w:tcPr>
            <w:tcW w:type="dxa" w:w="1728"/>
          </w:tcPr>
          <w:p>
            <w:r>
              <w:rPr>
                <w:rFonts w:ascii="Calibri" w:hAnsi="Calibri"/>
                <w:sz w:val="22"/>
              </w:rPr>
              <w:t>$37.42 – $39.34</w:t>
            </w:r>
          </w:p>
        </w:tc>
        <w:tc>
          <w:tcPr>
            <w:tcW w:type="dxa" w:w="1728"/>
          </w:tcPr>
          <w:p>
            <w:r>
              <w:rPr>
                <w:rFonts w:ascii="Calibri" w:hAnsi="Calibri"/>
                <w:sz w:val="22"/>
              </w:rPr>
              <w:t>$38.52 – $40.52 (midpoint $39.52)</w:t>
            </w:r>
          </w:p>
        </w:tc>
        <w:tc>
          <w:tcPr>
            <w:tcW w:type="dxa" w:w="1728"/>
          </w:tcPr>
          <w:p>
            <w:r>
              <w:rPr>
                <w:rFonts w:ascii="Calibri" w:hAnsi="Calibri"/>
                <w:sz w:val="22"/>
              </w:rPr>
              <w:t>$40.00</w:t>
            </w:r>
          </w:p>
        </w:tc>
        <w:tc>
          <w:tcPr>
            <w:tcW w:type="dxa" w:w="1728"/>
          </w:tcPr>
          <w:p>
            <w:r>
              <w:rPr>
                <w:rFonts w:ascii="Calibri" w:hAnsi="Calibri"/>
                <w:sz w:val="22"/>
              </w:rPr>
              <w:t>↑ Raised May 5; consensus slightly above midpoint, reflecting buyback tailwind</w:t>
            </w:r>
          </w:p>
        </w:tc>
      </w:tr>
      <w:tr>
        <w:tc>
          <w:tcPr>
            <w:tcW w:type="dxa" w:w="1728"/>
          </w:tcPr>
          <w:p>
            <w:r>
              <w:rPr>
                <w:rFonts w:ascii="Calibri" w:hAnsi="Calibri"/>
                <w:sz w:val="22"/>
              </w:rPr>
              <w:t>FY2026 Free Cash Flow</w:t>
            </w:r>
          </w:p>
        </w:tc>
        <w:tc>
          <w:tcPr>
            <w:tcW w:type="dxa" w:w="1728"/>
          </w:tcPr>
          <w:p>
            <w:r>
              <w:rPr>
                <w:rFonts w:ascii="Calibri" w:hAnsi="Calibri"/>
                <w:sz w:val="22"/>
              </w:rPr>
              <w:t>~$2,400M</w:t>
            </w:r>
          </w:p>
        </w:tc>
        <w:tc>
          <w:tcPr>
            <w:tcW w:type="dxa" w:w="1728"/>
          </w:tcPr>
          <w:p>
            <w:r>
              <w:rPr>
                <w:rFonts w:ascii="Calibri" w:hAnsi="Calibri"/>
                <w:sz w:val="22"/>
              </w:rPr>
              <w:t>~$2,500M</w:t>
            </w:r>
          </w:p>
        </w:tc>
        <w:tc>
          <w:tcPr>
            <w:tcW w:type="dxa" w:w="1728"/>
          </w:tcPr>
          <w:p>
            <w:r>
              <w:rPr>
                <w:rFonts w:ascii="Calibri" w:hAnsi="Calibri"/>
                <w:sz w:val="22"/>
              </w:rPr>
              <w:t>$2,136M</w:t>
            </w:r>
          </w:p>
        </w:tc>
        <w:tc>
          <w:tcPr>
            <w:tcW w:type="dxa" w:w="1728"/>
          </w:tcPr>
          <w:p>
            <w:r>
              <w:rPr>
                <w:rFonts w:ascii="Calibri" w:hAnsi="Calibri"/>
                <w:sz w:val="22"/>
              </w:rPr>
              <w:t>↑ Raised May 5; consensus below guide, likely reflecting acquisition-related cash outflows</w:t>
            </w:r>
          </w:p>
        </w:tc>
      </w:tr>
      <w:tr>
        <w:tc>
          <w:tcPr>
            <w:tcW w:type="dxa" w:w="1728"/>
          </w:tcPr>
          <w:p>
            <w:r>
              <w:rPr>
                <w:rFonts w:ascii="Calibri" w:hAnsi="Calibri"/>
                <w:sz w:val="22"/>
              </w:rPr>
              <w:t>Commercial Aftermarket Growth</w:t>
            </w:r>
          </w:p>
        </w:tc>
        <w:tc>
          <w:tcPr>
            <w:tcW w:type="dxa" w:w="1728"/>
          </w:tcPr>
          <w:p>
            <w:r>
              <w:rPr>
                <w:rFonts w:ascii="Calibri" w:hAnsi="Calibri"/>
                <w:sz w:val="22"/>
              </w:rPr>
              <w:t>High single-digit %</w:t>
            </w:r>
          </w:p>
        </w:tc>
        <w:tc>
          <w:tcPr>
            <w:tcW w:type="dxa" w:w="1728"/>
          </w:tcPr>
          <w:p>
            <w:r>
              <w:rPr>
                <w:rFonts w:ascii="Calibri" w:hAnsi="Calibri"/>
                <w:sz w:val="22"/>
              </w:rPr>
              <w:t>High single-digit to low double-digit % (contingent on Middle East situation)</w:t>
            </w:r>
          </w:p>
        </w:tc>
        <w:tc>
          <w:tcPr>
            <w:tcW w:type="dxa" w:w="1728"/>
          </w:tcPr>
          <w:p>
            <w:r>
              <w:rPr>
                <w:rFonts w:ascii="Calibri" w:hAnsi="Calibri"/>
                <w:sz w:val="22"/>
              </w:rPr>
              <w:t>~9% YoY implied by Q3 cons.</w:t>
            </w:r>
          </w:p>
        </w:tc>
        <w:tc>
          <w:tcPr>
            <w:tcW w:type="dxa" w:w="1728"/>
          </w:tcPr>
          <w:p>
            <w:r>
              <w:rPr>
                <w:rFonts w:ascii="Calibri" w:hAnsi="Calibri"/>
                <w:sz w:val="22"/>
              </w:rPr>
              <w:t>Range widened May 5 to reflect Middle East uncertainty; consensus at low end of range</w:t>
            </w:r>
          </w:p>
        </w:tc>
      </w:tr>
      <w:tr>
        <w:tc>
          <w:tcPr>
            <w:tcW w:type="dxa" w:w="1728"/>
          </w:tcPr>
          <w:p>
            <w:r>
              <w:rPr>
                <w:rFonts w:ascii="Calibri" w:hAnsi="Calibri"/>
                <w:sz w:val="22"/>
              </w:rPr>
              <w:t>Commercial OEM Growth</w:t>
            </w:r>
          </w:p>
        </w:tc>
        <w:tc>
          <w:tcPr>
            <w:tcW w:type="dxa" w:w="1728"/>
          </w:tcPr>
          <w:p>
            <w:r>
              <w:rPr>
                <w:rFonts w:ascii="Calibri" w:hAnsi="Calibri"/>
                <w:sz w:val="22"/>
              </w:rPr>
              <w:t>High single-digit to mid-teens %</w:t>
            </w:r>
          </w:p>
        </w:tc>
        <w:tc>
          <w:tcPr>
            <w:tcW w:type="dxa" w:w="1728"/>
          </w:tcPr>
          <w:p>
            <w:r>
              <w:rPr>
                <w:rFonts w:ascii="Calibri" w:hAnsi="Calibri"/>
                <w:sz w:val="22"/>
              </w:rPr>
              <w:t>Low double-digit to mid-teens %</w:t>
            </w:r>
          </w:p>
        </w:tc>
        <w:tc>
          <w:tcPr>
            <w:tcW w:type="dxa" w:w="1728"/>
          </w:tcPr>
          <w:p>
            <w:r>
              <w:rPr>
                <w:rFonts w:ascii="Calibri" w:hAnsi="Calibri"/>
                <w:sz w:val="22"/>
              </w:rPr>
              <w:t>~19% YoY implied by Q3 cons.</w:t>
            </w:r>
          </w:p>
        </w:tc>
        <w:tc>
          <w:tcPr>
            <w:tcW w:type="dxa" w:w="1728"/>
          </w:tcPr>
          <w:p>
            <w:r>
              <w:rPr>
                <w:rFonts w:ascii="Calibri" w:hAnsi="Calibri"/>
                <w:sz w:val="22"/>
              </w:rPr>
              <w:t>Raised floor May 5; consensus tracking above midpoint on Boeing/Airbus ramp</w:t>
            </w:r>
          </w:p>
        </w:tc>
      </w:tr>
      <w:tr>
        <w:tc>
          <w:tcPr>
            <w:tcW w:type="dxa" w:w="1728"/>
          </w:tcPr>
          <w:p>
            <w:r>
              <w:rPr>
                <w:rFonts w:ascii="Calibri" w:hAnsi="Calibri"/>
                <w:sz w:val="22"/>
              </w:rPr>
              <w:t>Defense Growth</w:t>
            </w:r>
          </w:p>
        </w:tc>
        <w:tc>
          <w:tcPr>
            <w:tcW w:type="dxa" w:w="1728"/>
          </w:tcPr>
          <w:p>
            <w:r>
              <w:rPr>
                <w:rFonts w:ascii="Calibri" w:hAnsi="Calibri"/>
                <w:sz w:val="22"/>
              </w:rPr>
              <w:t>Mid-single to high-single digit %</w:t>
            </w:r>
          </w:p>
        </w:tc>
        <w:tc>
          <w:tcPr>
            <w:tcW w:type="dxa" w:w="1728"/>
          </w:tcPr>
          <w:p>
            <w:r>
              <w:rPr>
                <w:rFonts w:ascii="Calibri" w:hAnsi="Calibri"/>
                <w:sz w:val="22"/>
              </w:rPr>
              <w:t>High single-digit %</w:t>
            </w:r>
          </w:p>
        </w:tc>
        <w:tc>
          <w:tcPr>
            <w:tcW w:type="dxa" w:w="1728"/>
          </w:tcPr>
          <w:p>
            <w:r>
              <w:rPr>
                <w:rFonts w:ascii="Calibri" w:hAnsi="Calibri"/>
                <w:sz w:val="22"/>
              </w:rPr>
              <w:t>~12% YoY implied by Q3 cons.</w:t>
            </w:r>
          </w:p>
        </w:tc>
        <w:tc>
          <w:tcPr>
            <w:tcW w:type="dxa" w:w="1728"/>
          </w:tcPr>
          <w:p>
            <w:r>
              <w:rPr>
                <w:rFonts w:ascii="Calibri" w:hAnsi="Calibri"/>
                <w:sz w:val="22"/>
              </w:rPr>
              <w:t>Raised May 5; consensus above guidance, reflecting strong bookings momentum</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drifted modestly higher since the Q2 print, tracking guidance rather than diverging from it — a healthy setup. </w:t>
      </w:r>
      <w:r>
        <w:rPr>
          <w:rFonts w:ascii="Calibri" w:hAnsi="Calibri"/>
          <w:b/>
          <w:color w:val="525866"/>
          <w:sz w:val="22"/>
        </w:rPr>
        <w:t>The gap between consensus and guidance midpoints is narrow (within 1–2%), suggesting the Street is not aggressively front-running another raise, which leaves room for upside surprise.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Q2 Earnings (c. May 12, 2026)</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(Feb 3, 2026)</w:t>
            </w:r>
          </w:p>
        </w:tc>
        <w:tc>
          <w:tcPr>
            <w:tcW w:type="dxa" w:w="1080"/>
            <w:shd w:val="clear" w:color="auto" w:fill="3B4259"/>
          </w:tcPr>
          <w:p>
            <w:r>
              <w:rPr>
                <w:rFonts w:ascii="Calibri" w:hAnsi="Calibri"/>
                <w:b/>
                <w:color w:val="FFFFFF"/>
                <w:sz w:val="22"/>
              </w:rPr>
              <w:t>Current Guidance (May 5, 2026)</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Sales — Q3 FY2026</w:t>
            </w:r>
          </w:p>
        </w:tc>
        <w:tc>
          <w:tcPr>
            <w:tcW w:type="dxa" w:w="1080"/>
          </w:tcPr>
          <w:p>
            <w:r>
              <w:rPr>
                <w:rFonts w:ascii="Calibri" w:hAnsi="Calibri"/>
                <w:sz w:val="22"/>
              </w:rPr>
              <w:t>$2,662M</w:t>
            </w:r>
          </w:p>
        </w:tc>
        <w:tc>
          <w:tcPr>
            <w:tcW w:type="dxa" w:w="1080"/>
          </w:tcPr>
          <w:p>
            <w:r>
              <w:rPr>
                <w:rFonts w:ascii="Calibri" w:hAnsi="Calibri"/>
                <w:sz w:val="22"/>
              </w:rPr>
              <w:t>$2,675M</w:t>
            </w:r>
          </w:p>
        </w:tc>
        <w:tc>
          <w:tcPr>
            <w:tcW w:type="dxa" w:w="1080"/>
          </w:tcPr>
          <w:p>
            <w:r>
              <w:rPr>
                <w:rFonts w:ascii="Calibri" w:hAnsi="Calibri"/>
                <w:sz w:val="22"/>
              </w:rPr>
              <w:t>+0.5%</w:t>
            </w:r>
          </w:p>
        </w:tc>
        <w:tc>
          <w:tcPr>
            <w:tcW w:type="dxa" w:w="1080"/>
          </w:tcPr>
          <w:p>
            <w:r>
              <w:rPr>
                <w:rFonts w:ascii="Calibri" w:hAnsi="Calibri"/>
                <w:sz w:val="22"/>
              </w:rPr>
              <w:t>N/A (quarterly not guided)</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EBITDA As Defined — Q3 FY2026</w:t>
            </w:r>
          </w:p>
        </w:tc>
        <w:tc>
          <w:tcPr>
            <w:tcW w:type="dxa" w:w="1080"/>
          </w:tcPr>
          <w:p>
            <w:r>
              <w:rPr>
                <w:rFonts w:ascii="Calibri" w:hAnsi="Calibri"/>
                <w:sz w:val="22"/>
              </w:rPr>
              <w:t>$1,393M</w:t>
            </w:r>
          </w:p>
        </w:tc>
        <w:tc>
          <w:tcPr>
            <w:tcW w:type="dxa" w:w="1080"/>
          </w:tcPr>
          <w:p>
            <w:r>
              <w:rPr>
                <w:rFonts w:ascii="Calibri" w:hAnsi="Calibri"/>
                <w:sz w:val="22"/>
              </w:rPr>
              <w:t>$1,400M</w:t>
            </w:r>
          </w:p>
        </w:tc>
        <w:tc>
          <w:tcPr>
            <w:tcW w:type="dxa" w:w="1080"/>
          </w:tcPr>
          <w:p>
            <w:r>
              <w:rPr>
                <w:rFonts w:ascii="Calibri" w:hAnsi="Calibri"/>
                <w:sz w:val="22"/>
              </w:rPr>
              <w:t>+0.5%</w:t>
            </w:r>
          </w:p>
        </w:tc>
        <w:tc>
          <w:tcPr>
            <w:tcW w:type="dxa" w:w="1080"/>
          </w:tcPr>
          <w:p>
            <w:r>
              <w:rPr>
                <w:rFonts w:ascii="Calibri" w:hAnsi="Calibri"/>
                <w:sz w:val="22"/>
              </w:rPr>
              <w:t>N/A (quarterly not guided)</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Q3 FY2026</w:t>
            </w:r>
          </w:p>
        </w:tc>
        <w:tc>
          <w:tcPr>
            <w:tcW w:type="dxa" w:w="1080"/>
          </w:tcPr>
          <w:p>
            <w:r>
              <w:rPr>
                <w:rFonts w:ascii="Calibri" w:hAnsi="Calibri"/>
                <w:sz w:val="22"/>
              </w:rPr>
              <w:t>$10.20</w:t>
            </w:r>
          </w:p>
        </w:tc>
        <w:tc>
          <w:tcPr>
            <w:tcW w:type="dxa" w:w="1080"/>
          </w:tcPr>
          <w:p>
            <w:r>
              <w:rPr>
                <w:rFonts w:ascii="Calibri" w:hAnsi="Calibri"/>
                <w:sz w:val="22"/>
              </w:rPr>
              <w:t>$10.27</w:t>
            </w:r>
          </w:p>
        </w:tc>
        <w:tc>
          <w:tcPr>
            <w:tcW w:type="dxa" w:w="1080"/>
          </w:tcPr>
          <w:p>
            <w:r>
              <w:rPr>
                <w:rFonts w:ascii="Calibri" w:hAnsi="Calibri"/>
                <w:sz w:val="22"/>
              </w:rPr>
              <w:t>+0.7%</w:t>
            </w:r>
          </w:p>
        </w:tc>
        <w:tc>
          <w:tcPr>
            <w:tcW w:type="dxa" w:w="1080"/>
          </w:tcPr>
          <w:p>
            <w:r>
              <w:rPr>
                <w:rFonts w:ascii="Calibri" w:hAnsi="Calibri"/>
                <w:sz w:val="22"/>
              </w:rPr>
              <w:t>N/A (quarterly not guided)</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Sales — FY2026</w:t>
            </w:r>
          </w:p>
        </w:tc>
        <w:tc>
          <w:tcPr>
            <w:tcW w:type="dxa" w:w="1080"/>
          </w:tcPr>
          <w:p>
            <w:r>
              <w:rPr>
                <w:rFonts w:ascii="Calibri" w:hAnsi="Calibri"/>
                <w:sz w:val="22"/>
              </w:rPr>
              <w:t>$10,370M</w:t>
            </w:r>
          </w:p>
        </w:tc>
        <w:tc>
          <w:tcPr>
            <w:tcW w:type="dxa" w:w="1080"/>
          </w:tcPr>
          <w:p>
            <w:r>
              <w:rPr>
                <w:rFonts w:ascii="Calibri" w:hAnsi="Calibri"/>
                <w:sz w:val="22"/>
              </w:rPr>
              <w:t>$10,382M</w:t>
            </w:r>
          </w:p>
        </w:tc>
        <w:tc>
          <w:tcPr>
            <w:tcW w:type="dxa" w:w="1080"/>
          </w:tcPr>
          <w:p>
            <w:r>
              <w:rPr>
                <w:rFonts w:ascii="Calibri" w:hAnsi="Calibri"/>
                <w:sz w:val="22"/>
              </w:rPr>
              <w:t>+0.1%</w:t>
            </w:r>
          </w:p>
        </w:tc>
        <w:tc>
          <w:tcPr>
            <w:tcW w:type="dxa" w:w="1080"/>
          </w:tcPr>
          <w:p>
            <w:r>
              <w:rPr>
                <w:rFonts w:ascii="Calibri" w:hAnsi="Calibri"/>
                <w:sz w:val="22"/>
              </w:rPr>
              <w:t>$9,940M (midpoint)</w:t>
            </w:r>
          </w:p>
        </w:tc>
        <w:tc>
          <w:tcPr>
            <w:tcW w:type="dxa" w:w="1080"/>
          </w:tcPr>
          <w:p>
            <w:r>
              <w:rPr>
                <w:rFonts w:ascii="Calibri" w:hAnsi="Calibri"/>
                <w:sz w:val="22"/>
              </w:rPr>
              <w:t>$10,370M (midpoint)</w:t>
            </w:r>
          </w:p>
        </w:tc>
        <w:tc>
          <w:tcPr>
            <w:tcW w:type="dxa" w:w="1080"/>
          </w:tcPr>
          <w:p>
            <w:r>
              <w:rPr>
                <w:rFonts w:ascii="Calibri" w:hAnsi="Calibri"/>
                <w:sz w:val="22"/>
              </w:rPr>
              <w:t>+4.3%</w:t>
            </w:r>
          </w:p>
        </w:tc>
        <w:tc>
          <w:tcPr>
            <w:tcW w:type="dxa" w:w="1080"/>
          </w:tcPr>
          <w:p>
            <w:r>
              <w:rPr>
                <w:rFonts w:ascii="Calibri" w:hAnsi="Calibri"/>
                <w:sz w:val="22"/>
              </w:rPr>
              <w:t>+0.1% above midpoint</w:t>
            </w:r>
          </w:p>
        </w:tc>
      </w:tr>
      <w:tr>
        <w:tc>
          <w:tcPr>
            <w:tcW w:type="dxa" w:w="1080"/>
          </w:tcPr>
          <w:p>
            <w:r>
              <w:rPr>
                <w:rFonts w:ascii="Calibri" w:hAnsi="Calibri"/>
                <w:sz w:val="22"/>
              </w:rPr>
              <w:t>EBITDA As Defined — FY2026</w:t>
            </w:r>
          </w:p>
        </w:tc>
        <w:tc>
          <w:tcPr>
            <w:tcW w:type="dxa" w:w="1080"/>
          </w:tcPr>
          <w:p>
            <w:r>
              <w:rPr>
                <w:rFonts w:ascii="Calibri" w:hAnsi="Calibri"/>
                <w:sz w:val="22"/>
              </w:rPr>
              <w:t>$5,439M</w:t>
            </w:r>
          </w:p>
        </w:tc>
        <w:tc>
          <w:tcPr>
            <w:tcW w:type="dxa" w:w="1080"/>
          </w:tcPr>
          <w:p>
            <w:r>
              <w:rPr>
                <w:rFonts w:ascii="Calibri" w:hAnsi="Calibri"/>
                <w:sz w:val="22"/>
              </w:rPr>
              <w:t>$5,444M</w:t>
            </w:r>
          </w:p>
        </w:tc>
        <w:tc>
          <w:tcPr>
            <w:tcW w:type="dxa" w:w="1080"/>
          </w:tcPr>
          <w:p>
            <w:r>
              <w:rPr>
                <w:rFonts w:ascii="Calibri" w:hAnsi="Calibri"/>
                <w:sz w:val="22"/>
              </w:rPr>
              <w:t>+0.1%</w:t>
            </w:r>
          </w:p>
        </w:tc>
        <w:tc>
          <w:tcPr>
            <w:tcW w:type="dxa" w:w="1080"/>
          </w:tcPr>
          <w:p>
            <w:r>
              <w:rPr>
                <w:rFonts w:ascii="Calibri" w:hAnsi="Calibri"/>
                <w:sz w:val="22"/>
              </w:rPr>
              <w:t>$5,210M (midpoint)</w:t>
            </w:r>
          </w:p>
        </w:tc>
        <w:tc>
          <w:tcPr>
            <w:tcW w:type="dxa" w:w="1080"/>
          </w:tcPr>
          <w:p>
            <w:r>
              <w:rPr>
                <w:rFonts w:ascii="Calibri" w:hAnsi="Calibri"/>
                <w:sz w:val="22"/>
              </w:rPr>
              <w:t>$5,420M (midpoint)</w:t>
            </w:r>
          </w:p>
        </w:tc>
        <w:tc>
          <w:tcPr>
            <w:tcW w:type="dxa" w:w="1080"/>
          </w:tcPr>
          <w:p>
            <w:r>
              <w:rPr>
                <w:rFonts w:ascii="Calibri" w:hAnsi="Calibri"/>
                <w:sz w:val="22"/>
              </w:rPr>
              <w:t>+4.0%</w:t>
            </w:r>
          </w:p>
        </w:tc>
        <w:tc>
          <w:tcPr>
            <w:tcW w:type="dxa" w:w="1080"/>
          </w:tcPr>
          <w:p>
            <w:r>
              <w:rPr>
                <w:rFonts w:ascii="Calibri" w:hAnsi="Calibri"/>
                <w:sz w:val="22"/>
              </w:rPr>
              <w:t>+0.4% above midpoint</w:t>
            </w:r>
          </w:p>
        </w:tc>
      </w:tr>
      <w:tr>
        <w:tc>
          <w:tcPr>
            <w:tcW w:type="dxa" w:w="1080"/>
          </w:tcPr>
          <w:p>
            <w:r>
              <w:rPr>
                <w:rFonts w:ascii="Calibri" w:hAnsi="Calibri"/>
                <w:sz w:val="22"/>
              </w:rPr>
              <w:t>Adj. EPS — FY2026</w:t>
            </w:r>
          </w:p>
        </w:tc>
        <w:tc>
          <w:tcPr>
            <w:tcW w:type="dxa" w:w="1080"/>
          </w:tcPr>
          <w:p>
            <w:r>
              <w:rPr>
                <w:rFonts w:ascii="Calibri" w:hAnsi="Calibri"/>
                <w:sz w:val="22"/>
              </w:rPr>
              <w:t>$39.99</w:t>
            </w:r>
          </w:p>
        </w:tc>
        <w:tc>
          <w:tcPr>
            <w:tcW w:type="dxa" w:w="1080"/>
          </w:tcPr>
          <w:p>
            <w:r>
              <w:rPr>
                <w:rFonts w:ascii="Calibri" w:hAnsi="Calibri"/>
                <w:sz w:val="22"/>
              </w:rPr>
              <w:t>$40.00</w:t>
            </w:r>
          </w:p>
        </w:tc>
        <w:tc>
          <w:tcPr>
            <w:tcW w:type="dxa" w:w="1080"/>
          </w:tcPr>
          <w:p>
            <w:r>
              <w:rPr>
                <w:rFonts w:ascii="Calibri" w:hAnsi="Calibri"/>
                <w:sz w:val="22"/>
              </w:rPr>
              <w:t>+0.0%</w:t>
            </w:r>
          </w:p>
        </w:tc>
        <w:tc>
          <w:tcPr>
            <w:tcW w:type="dxa" w:w="1080"/>
          </w:tcPr>
          <w:p>
            <w:r>
              <w:rPr>
                <w:rFonts w:ascii="Calibri" w:hAnsi="Calibri"/>
                <w:sz w:val="22"/>
              </w:rPr>
              <w:t>$38.38 (midpoint)</w:t>
            </w:r>
          </w:p>
        </w:tc>
        <w:tc>
          <w:tcPr>
            <w:tcW w:type="dxa" w:w="1080"/>
          </w:tcPr>
          <w:p>
            <w:r>
              <w:rPr>
                <w:rFonts w:ascii="Calibri" w:hAnsi="Calibri"/>
                <w:sz w:val="22"/>
              </w:rPr>
              <w:t>$39.52 (midpoint)</w:t>
            </w:r>
          </w:p>
        </w:tc>
        <w:tc>
          <w:tcPr>
            <w:tcW w:type="dxa" w:w="1080"/>
          </w:tcPr>
          <w:p>
            <w:r>
              <w:rPr>
                <w:rFonts w:ascii="Calibri" w:hAnsi="Calibri"/>
                <w:sz w:val="22"/>
              </w:rPr>
              <w:t>+3.0%</w:t>
            </w:r>
          </w:p>
        </w:tc>
        <w:tc>
          <w:tcPr>
            <w:tcW w:type="dxa" w:w="1080"/>
          </w:tcPr>
          <w:p>
            <w:r>
              <w:rPr>
                <w:rFonts w:ascii="Calibri" w:hAnsi="Calibri"/>
                <w:sz w:val="22"/>
              </w:rPr>
              <w:t>+1.2% above midpoint</w:t>
            </w:r>
          </w:p>
        </w:tc>
      </w:tr>
    </w:tbl>
    <w:p>
      <w:r>
        <w:rPr>
          <w:rFonts w:ascii="Calibri" w:hAnsi="Calibri"/>
          <w:i/>
          <w:color w:val="525866"/>
          <w:sz w:val="22"/>
        </w:rPr>
        <w:t>Source: Visible Alpha Consensus and Actuals Data.</w:t>
      </w:r>
      <w:r>
        <w:rPr>
          <w:rFonts w:ascii="Calibri" w:hAnsi="Calibri"/>
          <w:i/>
          <w:color w:val="525866"/>
          <w:sz w:val="22"/>
        </w:rPr>
        <w:t xml:space="preserve"> Post-Q2 baseline uses consensus as of approximately May 12, 2026 (5 trading days post-earnings). FY2026 initial guidance per February 3, 2026 Q1 FY2026 earnings call; current guidance per May 5, 2026 Q2 FY2026 earnings call. TDG does not provide quarterly guidance; FY guidance midpoints shown for full-year KPIs. Consensus has been essentially flat since the Q2 print, suggesting the Street is waiting for Q3 results before revising further.</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TDG has underperformed XAR (aerospace &amp; defense ETF) since the May 5 earnings date, with the stock up ~+8% vs. XAR +7% and SPY +5% — a modest outperformance on an absolute basis but largely in line with the sector. </w:t>
      </w:r>
      <w:r>
        <w:rPr>
          <w:rFonts w:ascii="Calibri" w:hAnsi="Calibri"/>
          <w:b/>
          <w:color w:val="525866"/>
          <w:sz w:val="22"/>
        </w:rPr>
        <w:t>The stock’s inability to hold the post-earnings spike suggests the market is waiting for Q3 confirmation before re-rating higher.</w:t>
      </w:r>
    </w:p>
    <w:p>
      <w:r>
        <w:rPr>
          <w:rFonts w:ascii="Calibri" w:hAnsi="Calibri"/>
          <w:color w:val="525866"/>
          <w:sz w:val="22"/>
        </w:rPr>
        <w:t>Since the May 5, 2026 Q2 FY2026 earnings date (base = 100):</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TDG (Indexed)</w:t>
            </w:r>
          </w:p>
        </w:tc>
        <w:tc>
          <w:tcPr>
            <w:tcW w:type="dxa" w:w="1728"/>
            <w:shd w:val="clear" w:color="auto" w:fill="3B4259"/>
          </w:tcPr>
          <w:p>
            <w:r>
              <w:rPr>
                <w:rFonts w:ascii="Calibri" w:hAnsi="Calibri"/>
                <w:b/>
                <w:color w:val="FFFFFF"/>
                <w:sz w:val="22"/>
              </w:rPr>
              <w:t>XAR (Indexed)</w:t>
            </w:r>
          </w:p>
        </w:tc>
        <w:tc>
          <w:tcPr>
            <w:tcW w:type="dxa" w:w="1728"/>
            <w:shd w:val="clear" w:color="auto" w:fill="3B4259"/>
          </w:tcPr>
          <w:p>
            <w:r>
              <w:rPr>
                <w:rFonts w:ascii="Calibri" w:hAnsi="Calibri"/>
                <w:b/>
                <w:color w:val="FFFFFF"/>
                <w:sz w:val="22"/>
              </w:rPr>
              <w:t>SPY (Indexed)</w:t>
            </w:r>
          </w:p>
        </w:tc>
        <w:tc>
          <w:tcPr>
            <w:tcW w:type="dxa" w:w="1728"/>
            <w:shd w:val="clear" w:color="auto" w:fill="3B4259"/>
          </w:tcPr>
          <w:p>
            <w:r>
              <w:rPr>
                <w:rFonts w:ascii="Calibri" w:hAnsi="Calibri"/>
                <w:b/>
                <w:color w:val="FFFFFF"/>
                <w:sz w:val="22"/>
              </w:rPr>
              <w:t>Key Event</w:t>
            </w:r>
          </w:p>
        </w:tc>
      </w:tr>
      <w:tr>
        <w:tc>
          <w:tcPr>
            <w:tcW w:type="dxa" w:w="1728"/>
          </w:tcPr>
          <w:p>
            <w:r>
              <w:rPr>
                <w:rFonts w:ascii="Calibri" w:hAnsi="Calibri"/>
                <w:sz w:val="22"/>
              </w:rPr>
              <w:t>May 5, 2026</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Q2 FY2026 Earnings (base)</w:t>
            </w:r>
          </w:p>
        </w:tc>
      </w:tr>
      <w:tr>
        <w:tc>
          <w:tcPr>
            <w:tcW w:type="dxa" w:w="1728"/>
          </w:tcPr>
          <w:p>
            <w:r>
              <w:rPr>
                <w:rFonts w:ascii="Calibri" w:hAnsi="Calibri"/>
                <w:sz w:val="22"/>
              </w:rPr>
              <w:t>May 6, 2026</w:t>
            </w:r>
          </w:p>
        </w:tc>
        <w:tc>
          <w:tcPr>
            <w:tcW w:type="dxa" w:w="1728"/>
          </w:tcPr>
          <w:p>
            <w:r>
              <w:rPr>
                <w:rFonts w:ascii="Calibri" w:hAnsi="Calibri"/>
                <w:sz w:val="22"/>
              </w:rPr>
              <w:t>103.5</w:t>
            </w:r>
          </w:p>
        </w:tc>
        <w:tc>
          <w:tcPr>
            <w:tcW w:type="dxa" w:w="1728"/>
          </w:tcPr>
          <w:p>
            <w:r>
              <w:rPr>
                <w:rFonts w:ascii="Calibri" w:hAnsi="Calibri"/>
                <w:sz w:val="22"/>
              </w:rPr>
              <w:t>104.7</w:t>
            </w:r>
          </w:p>
        </w:tc>
        <w:tc>
          <w:tcPr>
            <w:tcW w:type="dxa" w:w="1728"/>
          </w:tcPr>
          <w:p>
            <w:r>
              <w:rPr>
                <w:rFonts w:ascii="Calibri" w:hAnsi="Calibri"/>
                <w:sz w:val="22"/>
              </w:rPr>
              <w:t>101.4</w:t>
            </w:r>
          </w:p>
        </w:tc>
        <w:tc>
          <w:tcPr>
            <w:tcW w:type="dxa" w:w="1728"/>
          </w:tcPr>
          <w:p>
            <w:r>
              <w:rPr>
                <w:rFonts w:ascii="Calibri" w:hAnsi="Calibri"/>
                <w:sz w:val="22"/>
              </w:rPr>
              <w:t>Post-earnings rally</w:t>
            </w:r>
          </w:p>
        </w:tc>
      </w:tr>
      <w:tr>
        <w:tc>
          <w:tcPr>
            <w:tcW w:type="dxa" w:w="1728"/>
          </w:tcPr>
          <w:p>
            <w:r>
              <w:rPr>
                <w:rFonts w:ascii="Calibri" w:hAnsi="Calibri"/>
                <w:sz w:val="22"/>
              </w:rPr>
              <w:t>Jun 18, 2026</w:t>
            </w:r>
          </w:p>
        </w:tc>
        <w:tc>
          <w:tcPr>
            <w:tcW w:type="dxa" w:w="1728"/>
          </w:tcPr>
          <w:p>
            <w:r>
              <w:rPr>
                <w:rFonts w:ascii="Calibri" w:hAnsi="Calibri"/>
                <w:sz w:val="22"/>
              </w:rPr>
              <w:t>111.5</w:t>
            </w:r>
          </w:p>
        </w:tc>
        <w:tc>
          <w:tcPr>
            <w:tcW w:type="dxa" w:w="1728"/>
          </w:tcPr>
          <w:p>
            <w:r>
              <w:rPr>
                <w:rFonts w:ascii="Calibri" w:hAnsi="Calibri"/>
                <w:sz w:val="22"/>
              </w:rPr>
              <w:t>111.4</w:t>
            </w:r>
          </w:p>
        </w:tc>
        <w:tc>
          <w:tcPr>
            <w:tcW w:type="dxa" w:w="1728"/>
          </w:tcPr>
          <w:p>
            <w:r>
              <w:rPr>
                <w:rFonts w:ascii="Calibri" w:hAnsi="Calibri"/>
                <w:sz w:val="22"/>
              </w:rPr>
              <w:t>103.2</w:t>
            </w:r>
          </w:p>
        </w:tc>
        <w:tc>
          <w:tcPr>
            <w:tcW w:type="dxa" w:w="1728"/>
          </w:tcPr>
          <w:p>
            <w:r>
              <w:rPr>
                <w:rFonts w:ascii="Calibri" w:hAnsi="Calibri"/>
                <w:sz w:val="22"/>
              </w:rPr>
              <w:t>Peak; sector rally on defense spending news</w:t>
            </w:r>
          </w:p>
        </w:tc>
      </w:tr>
      <w:tr>
        <w:tc>
          <w:tcPr>
            <w:tcW w:type="dxa" w:w="1728"/>
          </w:tcPr>
          <w:p>
            <w:r>
              <w:rPr>
                <w:rFonts w:ascii="Calibri" w:hAnsi="Calibri"/>
                <w:sz w:val="22"/>
              </w:rPr>
              <w:t>Jul 13, 2026</w:t>
            </w:r>
          </w:p>
        </w:tc>
        <w:tc>
          <w:tcPr>
            <w:tcW w:type="dxa" w:w="1728"/>
          </w:tcPr>
          <w:p>
            <w:r>
              <w:rPr>
                <w:rFonts w:ascii="Calibri" w:hAnsi="Calibri"/>
                <w:sz w:val="22"/>
              </w:rPr>
              <w:t>103.7</w:t>
            </w:r>
          </w:p>
        </w:tc>
        <w:tc>
          <w:tcPr>
            <w:tcW w:type="dxa" w:w="1728"/>
          </w:tcPr>
          <w:p>
            <w:r>
              <w:rPr>
                <w:rFonts w:ascii="Calibri" w:hAnsi="Calibri"/>
                <w:sz w:val="22"/>
              </w:rPr>
              <w:t>103.5</w:t>
            </w:r>
          </w:p>
        </w:tc>
        <w:tc>
          <w:tcPr>
            <w:tcW w:type="dxa" w:w="1728"/>
          </w:tcPr>
          <w:p>
            <w:r>
              <w:rPr>
                <w:rFonts w:ascii="Calibri" w:hAnsi="Calibri"/>
                <w:sz w:val="22"/>
              </w:rPr>
              <w:t>103.5</w:t>
            </w:r>
          </w:p>
        </w:tc>
        <w:tc>
          <w:tcPr>
            <w:tcW w:type="dxa" w:w="1728"/>
          </w:tcPr>
          <w:p>
            <w:r>
              <w:rPr>
                <w:rFonts w:ascii="Calibri" w:hAnsi="Calibri"/>
                <w:sz w:val="22"/>
              </w:rPr>
              <w:t>Stellant withdrawal announced</w:t>
            </w:r>
          </w:p>
        </w:tc>
      </w:tr>
      <w:tr>
        <w:tc>
          <w:tcPr>
            <w:tcW w:type="dxa" w:w="1728"/>
          </w:tcPr>
          <w:p>
            <w:r>
              <w:rPr>
                <w:rFonts w:ascii="Calibri" w:hAnsi="Calibri"/>
                <w:sz w:val="22"/>
              </w:rPr>
              <w:t>Jul 27, 2026</w:t>
            </w:r>
          </w:p>
        </w:tc>
        <w:tc>
          <w:tcPr>
            <w:tcW w:type="dxa" w:w="1728"/>
          </w:tcPr>
          <w:p>
            <w:r>
              <w:rPr>
                <w:rFonts w:ascii="Calibri" w:hAnsi="Calibri"/>
                <w:sz w:val="22"/>
              </w:rPr>
              <w:t>108.0</w:t>
            </w:r>
          </w:p>
        </w:tc>
        <w:tc>
          <w:tcPr>
            <w:tcW w:type="dxa" w:w="1728"/>
          </w:tcPr>
          <w:p>
            <w:r>
              <w:rPr>
                <w:rFonts w:ascii="Calibri" w:hAnsi="Calibri"/>
                <w:sz w:val="22"/>
              </w:rPr>
              <w:t>107.0</w:t>
            </w:r>
          </w:p>
        </w:tc>
        <w:tc>
          <w:tcPr>
            <w:tcW w:type="dxa" w:w="1728"/>
          </w:tcPr>
          <w:p>
            <w:r>
              <w:rPr>
                <w:rFonts w:ascii="Calibri" w:hAnsi="Calibri"/>
                <w:sz w:val="22"/>
              </w:rPr>
              <w:t>102.1</w:t>
            </w:r>
          </w:p>
        </w:tc>
        <w:tc>
          <w:tcPr>
            <w:tcW w:type="dxa" w:w="1728"/>
          </w:tcPr>
          <w:p>
            <w:r>
              <w:rPr>
                <w:rFonts w:ascii="Calibri" w:hAnsi="Calibri"/>
                <w:sz w:val="22"/>
              </w:rPr>
              <w:t>Prince &amp; Izant acquisition announced ($1.066B)</w:t>
            </w:r>
          </w:p>
        </w:tc>
      </w:tr>
      <w:tr>
        <w:tc>
          <w:tcPr>
            <w:tcW w:type="dxa" w:w="1728"/>
          </w:tcPr>
          <w:p>
            <w:r>
              <w:rPr>
                <w:rFonts w:ascii="Calibri" w:hAnsi="Calibri"/>
                <w:sz w:val="22"/>
              </w:rPr>
              <w:t>Aug 3, 2026 (latest)</w:t>
            </w:r>
          </w:p>
        </w:tc>
        <w:tc>
          <w:tcPr>
            <w:tcW w:type="dxa" w:w="1728"/>
          </w:tcPr>
          <w:p>
            <w:r>
              <w:rPr>
                <w:rFonts w:ascii="Calibri" w:hAnsi="Calibri"/>
                <w:sz w:val="22"/>
              </w:rPr>
              <w:t>~107.9</w:t>
            </w:r>
          </w:p>
        </w:tc>
        <w:tc>
          <w:tcPr>
            <w:tcW w:type="dxa" w:w="1728"/>
          </w:tcPr>
          <w:p>
            <w:r>
              <w:rPr>
                <w:rFonts w:ascii="Calibri" w:hAnsi="Calibri"/>
                <w:sz w:val="22"/>
              </w:rPr>
              <w:t>~107.2</w:t>
            </w:r>
          </w:p>
        </w:tc>
        <w:tc>
          <w:tcPr>
            <w:tcW w:type="dxa" w:w="1728"/>
          </w:tcPr>
          <w:p>
            <w:r>
              <w:rPr>
                <w:rFonts w:ascii="Calibri" w:hAnsi="Calibri"/>
                <w:sz w:val="22"/>
              </w:rPr>
              <w:t>~104.7</w:t>
            </w:r>
          </w:p>
        </w:tc>
        <w:tc>
          <w:tcPr>
            <w:tcW w:type="dxa" w:w="1728"/>
          </w:tcPr>
          <w:p>
            <w:r>
              <w:rPr>
                <w:rFonts w:ascii="Calibri" w:hAnsi="Calibri"/>
                <w:sz w:val="22"/>
              </w:rPr>
              <w:t>Pre-earnings (Aug 4 report)</w:t>
            </w:r>
          </w:p>
        </w:tc>
      </w:tr>
    </w:tbl>
    <w:p>
      <w:r>
        <w:rPr>
          <w:rFonts w:ascii="Calibri" w:hAnsi="Calibri"/>
          <w:i/>
          <w:color w:val="525866"/>
          <w:sz w:val="22"/>
        </w:rPr>
        <w:t>Source: Stock Price Data (Yahoo Finance).</w:t>
      </w:r>
      <w:r>
        <w:rPr>
          <w:rFonts w:ascii="Calibri" w:hAnsi="Calibri"/>
          <w:i/>
          <w:color w:val="525866"/>
          <w:sz w:val="22"/>
        </w:rPr>
        <w:t xml:space="preserve"> Sector ETF: XAR (SPDR S&amp;P Aerospace &amp; Defense ETF) — appropriate for TDG’s aerospace &amp; defense sub-sector. TDG opened at $1,191.33 on May 5 (earnings day) and closed at $1,285.56 on August 4, 2026 (most recent available). The stock peaked at ~$1,348 in early July before pulling back on the Stellant withdrawal news and broader sector rotation. The Stellant withdrawal (July 13) caused a ~$56 single-day decline (-4.3%), as the market had partially priced in the deal. The Prince &amp; Izant announcement (July 27) was received positively, with TDG up ~$50 on the day, consistent with TDG’s track record of value-accretive bolt-on M&amp;A.</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 xml:space="preserve">The most material post-Q2 development is the withdrawal from Stellant (July 13) followed immediately by the Prince &amp; Izant acquisition announcement (July 27) — together signaling that TDG’s M&amp;A pipeline remains active and management is disciplined about regulatory risk. </w:t>
      </w:r>
      <w:r>
        <w:rPr>
          <w:rFonts w:ascii="Calibri" w:hAnsi="Calibri"/>
          <w:b/>
          <w:color w:val="525866"/>
          <w:sz w:val="22"/>
        </w:rPr>
        <w:t>Boeing’s 737 MAX 7 FAA certification (August 3) is a positive read-through for commercial OEM demand.</w:t>
      </w:r>
    </w:p>
    <w:p>
      <w:pPr>
        <w:pStyle w:val="ListBullet"/>
        <w:ind w:left="360" w:hanging="360"/>
      </w:pPr>
      <w:r>
        <w:rPr>
          <w:rFonts w:ascii="Calibri" w:hAnsi="Calibri"/>
          <w:b/>
          <w:color w:val="525866"/>
          <w:sz w:val="22"/>
        </w:rPr>
        <w:t>July 27, 2026 — Prince &amp; Izant Acquisition Announced ($1.066B).</w:t>
      </w:r>
      <w:r>
        <w:rPr>
          <w:rFonts w:ascii="Calibri" w:hAnsi="Calibri"/>
          <w:color w:val="525866"/>
          <w:sz w:val="22"/>
        </w:rPr>
        <w:t xml:space="preserve"> TDG announced a definitive agreement to acquire Prince &amp; Izant, a leading global designer and manufacturer of highly engineered brazing alloys and specialty metal components, from Industrial Growth Partners for ~$1.066B in cash (including tax benefits). P&amp;I is expected to generate ~$360M in revenue for CY2026, derives the majority of its revenue from the aftermarket, and serves aerospace &amp; defense, aeroderivative turbine, and transportation end markets. The acquisition is subject to U.S. regulatory approval. </w:t>
      </w:r>
      <w:r>
        <w:rPr>
          <w:rFonts w:ascii="Calibri" w:hAnsi="Calibri"/>
          <w:i/>
          <w:color w:val="525866"/>
          <w:sz w:val="22"/>
        </w:rPr>
        <w:t>Implication: Consistent with TDG’s playbook of acquiring proprietary, aftermarket-heavy businesses; adds ~$360M in revenue and is expected to be accretive. Adds to the M&amp;A dilution narrative (~200 bps) but reinforces the long-term compounding story.</w:t>
      </w:r>
    </w:p>
    <w:p>
      <w:pPr>
        <w:pStyle w:val="ListBullet"/>
        <w:ind w:left="360" w:hanging="360"/>
      </w:pPr>
      <w:r>
        <w:rPr>
          <w:rFonts w:ascii="Calibri" w:hAnsi="Calibri"/>
          <w:b/>
          <w:color w:val="525866"/>
          <w:sz w:val="22"/>
        </w:rPr>
        <w:t>July 24, 2026 — Stellex Capital’s Krasik Added to TDG Board.</w:t>
      </w:r>
      <w:r>
        <w:rPr>
          <w:rFonts w:ascii="Calibri" w:hAnsi="Calibri"/>
          <w:color w:val="525866"/>
          <w:sz w:val="22"/>
        </w:rPr>
        <w:t xml:space="preserve"> TDG added a new independent director with a private equity background, signaling continued emphasis on M&amp;A governance and deal sourcing.</w:t>
      </w:r>
    </w:p>
    <w:p>
      <w:pPr>
        <w:pStyle w:val="ListBullet"/>
        <w:ind w:left="360" w:hanging="360"/>
      </w:pPr>
      <w:r>
        <w:rPr>
          <w:rFonts w:ascii="Calibri" w:hAnsi="Calibri"/>
          <w:b/>
          <w:color w:val="525866"/>
          <w:sz w:val="22"/>
        </w:rPr>
        <w:t>July 13, 2026 — TDG Withdraws from Stellant Systems Acquisition.</w:t>
      </w:r>
      <w:r>
        <w:rPr>
          <w:rFonts w:ascii="Calibri" w:hAnsi="Calibri"/>
          <w:color w:val="525866"/>
          <w:sz w:val="22"/>
        </w:rPr>
        <w:t xml:space="preserve"> TDG withdrew its regulatory filing for the ~$960M acquisition of Stellant Systems (announced December 31, 2025), citing uncertainty in the regulatory review process, the likely time required relative to contractual deadlines, and the opportunity cost of pursuing other acquisitions. Arlington Capital Partners subsequently terminated the transaction agreement. </w:t>
      </w:r>
      <w:r>
        <w:rPr>
          <w:rFonts w:ascii="Calibri" w:hAnsi="Calibri"/>
          <w:i/>
          <w:color w:val="525866"/>
          <w:sz w:val="22"/>
        </w:rPr>
        <w:t>Implication: Regulatory risk is real for TDG’s M&amp;A strategy; however, management’s swift pivot to Prince &amp; Izant demonstrates the depth of the acquisition pipeline. The Stellant withdrawal freed up ~$960M of M&amp;A capacity.</w:t>
      </w:r>
    </w:p>
    <w:p>
      <w:pPr>
        <w:pStyle w:val="ListBullet"/>
        <w:ind w:left="360" w:hanging="360"/>
      </w:pPr>
      <w:r>
        <w:rPr>
          <w:rFonts w:ascii="Calibri" w:hAnsi="Calibri"/>
          <w:b/>
          <w:color w:val="525866"/>
          <w:sz w:val="22"/>
        </w:rPr>
        <w:t>August 3, 2026 — FAA Certifies Boeing 737 MAX 7.</w:t>
      </w:r>
      <w:r>
        <w:rPr>
          <w:rFonts w:ascii="Calibri" w:hAnsi="Calibri"/>
          <w:color w:val="525866"/>
          <w:sz w:val="22"/>
        </w:rPr>
        <w:t xml:space="preserve"> The FAA approved the 737 MAX 7 after years of delays, with Southwest Airlines as the launch customer. Boeing has ~30 MAX 7s and 9 MAX 10s awaiting delivery. </w:t>
      </w:r>
      <w:r>
        <w:rPr>
          <w:rFonts w:ascii="Calibri" w:hAnsi="Calibri"/>
          <w:i/>
          <w:color w:val="525866"/>
          <w:sz w:val="22"/>
        </w:rPr>
        <w:t>Implication: Positive read-through for TDG’s commercial OEM segment — accelerates Boeing’s production ramp and expands the installed base for TDG’s proprietary components.</w:t>
      </w:r>
    </w:p>
    <w:p>
      <w:pPr>
        <w:pStyle w:val="ListBullet"/>
        <w:ind w:left="360" w:hanging="360"/>
      </w:pPr>
      <w:r>
        <w:rPr>
          <w:rFonts w:ascii="Calibri" w:hAnsi="Calibri"/>
          <w:b/>
          <w:color w:val="525866"/>
          <w:sz w:val="22"/>
        </w:rPr>
        <w:t>July 28, 2026 — Boeing Q2 FY2026 Results.</w:t>
      </w:r>
      <w:r>
        <w:rPr>
          <w:rFonts w:ascii="Calibri" w:hAnsi="Calibri"/>
          <w:color w:val="525866"/>
          <w:sz w:val="22"/>
        </w:rPr>
        <w:t xml:space="preserve"> Boeing delivered 171 aircraft in Q2 (highest since 2018), with 737 production ramping to 47/month and targeting 52/month. Free cash flow of $631M beat estimates. BGS (services) revenue up 8% ex-divestiture with double-digit margins. </w:t>
      </w:r>
      <w:r>
        <w:rPr>
          <w:rFonts w:ascii="Calibri" w:hAnsi="Calibri"/>
          <w:i/>
          <w:color w:val="525866"/>
          <w:sz w:val="22"/>
        </w:rPr>
        <w:t>Implication: Positive for TDG’s commercial OEM and aftermarket segments; higher deliveries and a growing installed base drive future aftermarket demand.</w:t>
      </w:r>
    </w:p>
    <w:p>
      <w:pPr>
        <w:pStyle w:val="ListBullet"/>
        <w:ind w:left="360" w:hanging="360"/>
      </w:pPr>
      <w:r>
        <w:rPr>
          <w:rFonts w:ascii="Calibri" w:hAnsi="Calibri"/>
          <w:b/>
          <w:color w:val="525866"/>
          <w:sz w:val="22"/>
        </w:rPr>
        <w:t>July 23, 2026 — RTX Q2 FY2026 Results.</w:t>
      </w:r>
      <w:r>
        <w:rPr>
          <w:rFonts w:ascii="Calibri" w:hAnsi="Calibri"/>
          <w:color w:val="525866"/>
          <w:sz w:val="22"/>
        </w:rPr>
        <w:t xml:space="preserve"> RTX raised 2026 sales guidance to $95–$96B (from $92.5–$93.5B) and EPS to $7.10–$7.25 (from $6.70–$6.90). Backlog grew 22% YoY to $289B. Commercial aftermarket up 18% organically; defense up 16%. </w:t>
      </w:r>
      <w:r>
        <w:rPr>
          <w:rFonts w:ascii="Calibri" w:hAnsi="Calibri"/>
          <w:i/>
          <w:color w:val="525866"/>
          <w:sz w:val="22"/>
        </w:rPr>
        <w:t>Implication: Strong positive read-through for TDG’s aftermarket and defense channels.</w:t>
      </w:r>
    </w:p>
    <w:p>
      <w:pPr>
        <w:pStyle w:val="ListBullet"/>
        <w:ind w:left="360" w:hanging="360"/>
      </w:pPr>
      <w:r>
        <w:rPr>
          <w:rFonts w:ascii="Calibri" w:hAnsi="Calibri"/>
          <w:b/>
          <w:color w:val="525866"/>
          <w:sz w:val="22"/>
        </w:rPr>
        <w:t>July 23, 2026 — Lockheed Martin Q2 FY2026 Results.</w:t>
      </w:r>
      <w:r>
        <w:rPr>
          <w:rFonts w:ascii="Calibri" w:hAnsi="Calibri"/>
          <w:color w:val="525866"/>
          <w:sz w:val="22"/>
        </w:rPr>
        <w:t xml:space="preserve"> LMT raised 2026 revenue guidance to ~$80.8B and EPS to ~$30.30. Backlog grew to a record $230B (+38% YoY). Missiles &amp; Fire Control revenue up ~20%. </w:t>
      </w:r>
      <w:r>
        <w:rPr>
          <w:rFonts w:ascii="Calibri" w:hAnsi="Calibri"/>
          <w:i/>
          <w:color w:val="525866"/>
          <w:sz w:val="22"/>
        </w:rPr>
        <w:t>Implication: Positive for TDG’s defense segment; strong munitions demand and backlog growth support sustained defense spending.</w:t>
      </w:r>
    </w:p>
    <w:p>
      <w:pPr>
        <w:pStyle w:val="ListBullet"/>
        <w:ind w:left="360" w:hanging="360"/>
      </w:pPr>
      <w:r>
        <w:rPr>
          <w:rFonts w:ascii="Calibri" w:hAnsi="Calibri"/>
          <w:b/>
          <w:color w:val="525866"/>
          <w:sz w:val="22"/>
        </w:rPr>
        <w:t>July 16, 2026 — GE Aerospace Q2 FY2026 Results.</w:t>
      </w:r>
      <w:r>
        <w:rPr>
          <w:rFonts w:ascii="Calibri" w:hAnsi="Calibri"/>
          <w:color w:val="525866"/>
          <w:sz w:val="22"/>
        </w:rPr>
        <w:t xml:space="preserve"> GE reported record internal shop visit output, commercial services revenue up 32% in H1, and spare parts sales up 25%+. Engine deliveries up 31% (Leap up 41%). Described aftermarket demand as resilient with ‘no demand problem.’ </w:t>
      </w:r>
      <w:r>
        <w:rPr>
          <w:rFonts w:ascii="Calibri" w:hAnsi="Calibri"/>
          <w:i/>
          <w:color w:val="525866"/>
          <w:sz w:val="22"/>
        </w:rPr>
        <w:t>Implication: Strong positive read-through for TDG’s commercial aftermarket; high MRO activity and spare parts demand directly benefit TDG’s proprietary component sales.</w:t>
      </w:r>
    </w:p>
    <w:p>
      <w:pPr>
        <w:pStyle w:val="ListBullet"/>
        <w:ind w:left="360" w:hanging="360"/>
      </w:pPr>
      <w:r>
        <w:rPr>
          <w:rFonts w:ascii="Calibri" w:hAnsi="Calibri"/>
          <w:b/>
          <w:color w:val="525866"/>
          <w:sz w:val="22"/>
        </w:rPr>
        <w:t>July 20, 2026 — Trump Executive Order on Defense Supply Chain.</w:t>
      </w:r>
      <w:r>
        <w:rPr>
          <w:rFonts w:ascii="Calibri" w:hAnsi="Calibri"/>
          <w:color w:val="525866"/>
          <w:sz w:val="22"/>
        </w:rPr>
        <w:t xml:space="preserve"> President Trump signed an executive order requiring defense contractors to screen supply chains and eliminate certain foreign suppliers, with a focus on China. </w:t>
      </w:r>
      <w:r>
        <w:rPr>
          <w:rFonts w:ascii="Calibri" w:hAnsi="Calibri"/>
          <w:i/>
          <w:color w:val="525866"/>
          <w:sz w:val="22"/>
        </w:rPr>
        <w:t>Implication: Neutral to slightly positive for TDG — TDG’s highly proprietary, U.S.-manufactured components are well-positioned; could create switching costs that benefit TDG vs. foreign-sourced alternatives.</w:t>
      </w:r>
    </w:p>
    <w:p>
      <w:pPr>
        <w:pStyle w:val="ListBullet"/>
        <w:ind w:left="360" w:hanging="360"/>
      </w:pPr>
      <w:r>
        <w:rPr>
          <w:rFonts w:ascii="Calibri" w:hAnsi="Calibri"/>
          <w:b/>
          <w:color w:val="525866"/>
          <w:sz w:val="22"/>
        </w:rPr>
        <w:t>July 29, 2026 — Woodward (WWD) Q3 FY2026 Results.</w:t>
      </w:r>
      <w:r>
        <w:rPr>
          <w:rFonts w:ascii="Calibri" w:hAnsi="Calibri"/>
          <w:color w:val="525866"/>
          <w:sz w:val="22"/>
        </w:rPr>
        <w:t xml:space="preserve"> WWD reported commercial services up 24%, commercial OEM up 34%, and aerospace segment margins of 24% (vs. 21.1% prior year). Price realization of 10%+ in aerospace. Inputs from airline customers described as ‘steady to increasing.’ </w:t>
      </w:r>
      <w:r>
        <w:rPr>
          <w:rFonts w:ascii="Calibri" w:hAnsi="Calibri"/>
          <w:i/>
          <w:color w:val="525866"/>
          <w:sz w:val="22"/>
        </w:rPr>
        <w:t>Implication: Positive read-through for TDG’s aftermarket and OEM channels; strong pricing and volume leverage in aerospace components.</w:t>
      </w:r>
    </w:p>
    <w:p>
      <w:r>
        <w:br w:type="page"/>
      </w:r>
    </w:p>
    <w:p>
      <w:pPr>
        <w:pStyle w:val="Heading1"/>
        <w:pBdr>
          <w:bottom w:val="single" w:sz="4" w:space="1" w:color="FB9120"/>
        </w:pBdr>
      </w:pPr>
      <w:r>
        <w:rPr>
          <w:rFonts w:ascii="Calibri" w:hAnsi="Calibri"/>
          <w:b/>
          <w:color w:val="3B4259"/>
          <w:sz w:val="40"/>
        </w:rPr>
        <w:t>7. Insider Transaction Activity</w:t>
      </w:r>
    </w:p>
    <w:p>
      <w:r>
        <w:rPr>
          <w:rFonts w:ascii="Calibri" w:hAnsi="Calibri"/>
          <w:b/>
          <w:color w:val="525866"/>
          <w:sz w:val="22"/>
        </w:rPr>
        <w:t xml:space="preserve">Key Takeaway: </w:t>
      </w:r>
      <w:r>
        <w:rPr>
          <w:rFonts w:ascii="Calibri" w:hAnsi="Calibri"/>
          <w:color w:val="525866"/>
          <w:sz w:val="22"/>
        </w:rPr>
        <w:t>All insider activity since the Q2 earnings date consists of 10b5-1 planned sales — no discretionary open-market selling and no open-market buying. The pattern is routine and not a negative signal; the pre-planned nature of all transactions removes informational content.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W. Nicholas Howley</w:t>
            </w:r>
          </w:p>
        </w:tc>
        <w:tc>
          <w:tcPr>
            <w:tcW w:type="dxa" w:w="1440"/>
          </w:tcPr>
          <w:p>
            <w:r>
              <w:rPr>
                <w:rFonts w:ascii="Calibri" w:hAnsi="Calibri"/>
                <w:sz w:val="22"/>
              </w:rPr>
              <w:t>Director (Founder)</w:t>
            </w:r>
          </w:p>
        </w:tc>
        <w:tc>
          <w:tcPr>
            <w:tcW w:type="dxa" w:w="1440"/>
          </w:tcPr>
          <w:p>
            <w:r>
              <w:rPr>
                <w:rFonts w:ascii="Calibri" w:hAnsi="Calibri"/>
                <w:sz w:val="22"/>
              </w:rPr>
              <w:t>10b5-1 Planned Sale</w:t>
            </w:r>
          </w:p>
        </w:tc>
        <w:tc>
          <w:tcPr>
            <w:tcW w:type="dxa" w:w="1440"/>
          </w:tcPr>
          <w:p>
            <w:r>
              <w:rPr>
                <w:rFonts w:ascii="Calibri" w:hAnsi="Calibri"/>
                <w:sz w:val="22"/>
              </w:rPr>
              <w:t>10,132 shares (indirect, via family trust)</w:t>
            </w:r>
          </w:p>
        </w:tc>
        <w:tc>
          <w:tcPr>
            <w:tcW w:type="dxa" w:w="1440"/>
          </w:tcPr>
          <w:p>
            <w:r>
              <w:rPr>
                <w:rFonts w:ascii="Calibri" w:hAnsi="Calibri"/>
                <w:sz w:val="22"/>
              </w:rPr>
              <w:t>Jul 20, 2026</w:t>
            </w:r>
          </w:p>
        </w:tc>
        <w:tc>
          <w:tcPr>
            <w:tcW w:type="dxa" w:w="1440"/>
          </w:tcPr>
          <w:p>
            <w:r>
              <w:rPr>
                <w:rFonts w:ascii="Calibri" w:hAnsi="Calibri"/>
                <w:sz w:val="22"/>
              </w:rPr>
              <w:t>Pre-planned; sold via W. Nicholas Howley Family Trust u/a/d 4/23/99; routine periodic sale under 10b5-1 plan</w:t>
            </w:r>
          </w:p>
        </w:tc>
      </w:tr>
      <w:tr>
        <w:tc>
          <w:tcPr>
            <w:tcW w:type="dxa" w:w="1440"/>
          </w:tcPr>
          <w:p>
            <w:r>
              <w:rPr>
                <w:rFonts w:ascii="Calibri" w:hAnsi="Calibri"/>
                <w:sz w:val="22"/>
              </w:rPr>
              <w:t>Joel Reiss</w:t>
            </w:r>
          </w:p>
        </w:tc>
        <w:tc>
          <w:tcPr>
            <w:tcW w:type="dxa" w:w="1440"/>
          </w:tcPr>
          <w:p>
            <w:r>
              <w:rPr>
                <w:rFonts w:ascii="Calibri" w:hAnsi="Calibri"/>
                <w:sz w:val="22"/>
              </w:rPr>
              <w:t>Co-Chief Operating Officer</w:t>
            </w:r>
          </w:p>
        </w:tc>
        <w:tc>
          <w:tcPr>
            <w:tcW w:type="dxa" w:w="1440"/>
          </w:tcPr>
          <w:p>
            <w:r>
              <w:rPr>
                <w:rFonts w:ascii="Calibri" w:hAnsi="Calibri"/>
                <w:sz w:val="22"/>
              </w:rPr>
              <w:t>10b5-1 Planned Sale</w:t>
            </w:r>
          </w:p>
        </w:tc>
        <w:tc>
          <w:tcPr>
            <w:tcW w:type="dxa" w:w="1440"/>
          </w:tcPr>
          <w:p>
            <w:r>
              <w:rPr>
                <w:rFonts w:ascii="Calibri" w:hAnsi="Calibri"/>
                <w:sz w:val="22"/>
              </w:rPr>
              <w:t>3,486 + 414 = 3,900 shares (direct)</w:t>
            </w:r>
          </w:p>
        </w:tc>
        <w:tc>
          <w:tcPr>
            <w:tcW w:type="dxa" w:w="1440"/>
          </w:tcPr>
          <w:p>
            <w:r>
              <w:rPr>
                <w:rFonts w:ascii="Calibri" w:hAnsi="Calibri"/>
                <w:sz w:val="22"/>
              </w:rPr>
              <w:t>Jul 15, 2026</w:t>
            </w:r>
          </w:p>
        </w:tc>
        <w:tc>
          <w:tcPr>
            <w:tcW w:type="dxa" w:w="1440"/>
          </w:tcPr>
          <w:p>
            <w:r>
              <w:rPr>
                <w:rFonts w:ascii="Calibri" w:hAnsi="Calibri"/>
                <w:sz w:val="22"/>
              </w:rPr>
              <w:t>Pre-planned; two tranches filed separately; routine 10b5-1 plan execution</w:t>
            </w:r>
          </w:p>
        </w:tc>
      </w:tr>
      <w:tr>
        <w:tc>
          <w:tcPr>
            <w:tcW w:type="dxa" w:w="1440"/>
          </w:tcPr>
          <w:p>
            <w:r>
              <w:rPr>
                <w:rFonts w:ascii="Calibri" w:hAnsi="Calibri"/>
                <w:sz w:val="22"/>
              </w:rPr>
              <w:t>W. Nicholas Howley</w:t>
            </w:r>
          </w:p>
        </w:tc>
        <w:tc>
          <w:tcPr>
            <w:tcW w:type="dxa" w:w="1440"/>
          </w:tcPr>
          <w:p>
            <w:r>
              <w:rPr>
                <w:rFonts w:ascii="Calibri" w:hAnsi="Calibri"/>
                <w:sz w:val="22"/>
              </w:rPr>
              <w:t>Director (Founder)</w:t>
            </w:r>
          </w:p>
        </w:tc>
        <w:tc>
          <w:tcPr>
            <w:tcW w:type="dxa" w:w="1440"/>
          </w:tcPr>
          <w:p>
            <w:r>
              <w:rPr>
                <w:rFonts w:ascii="Calibri" w:hAnsi="Calibri"/>
                <w:sz w:val="22"/>
              </w:rPr>
              <w:t>10b5-1 Planned Sale</w:t>
            </w:r>
          </w:p>
        </w:tc>
        <w:tc>
          <w:tcPr>
            <w:tcW w:type="dxa" w:w="1440"/>
          </w:tcPr>
          <w:p>
            <w:r>
              <w:rPr>
                <w:rFonts w:ascii="Calibri" w:hAnsi="Calibri"/>
                <w:sz w:val="22"/>
              </w:rPr>
              <w:t>10,132 shares × 3 tranches (indirect, via family trust)</w:t>
            </w:r>
          </w:p>
        </w:tc>
        <w:tc>
          <w:tcPr>
            <w:tcW w:type="dxa" w:w="1440"/>
          </w:tcPr>
          <w:p>
            <w:r>
              <w:rPr>
                <w:rFonts w:ascii="Calibri" w:hAnsi="Calibri"/>
                <w:sz w:val="22"/>
              </w:rPr>
              <w:t>Jun 18, 2026</w:t>
            </w:r>
          </w:p>
        </w:tc>
        <w:tc>
          <w:tcPr>
            <w:tcW w:type="dxa" w:w="1440"/>
          </w:tcPr>
          <w:p>
            <w:r>
              <w:rPr>
                <w:rFonts w:ascii="Calibri" w:hAnsi="Calibri"/>
                <w:sz w:val="22"/>
              </w:rPr>
              <w:t>Pre-planned; three separate Form 4 filings for same-day transactions; routine periodic sale</w:t>
            </w:r>
          </w:p>
        </w:tc>
      </w:tr>
      <w:tr>
        <w:tc>
          <w:tcPr>
            <w:tcW w:type="dxa" w:w="1440"/>
          </w:tcPr>
          <w:p>
            <w:r>
              <w:rPr>
                <w:rFonts w:ascii="Calibri" w:hAnsi="Calibri"/>
                <w:sz w:val="22"/>
              </w:rPr>
              <w:t>Joel Reiss</w:t>
            </w:r>
          </w:p>
        </w:tc>
        <w:tc>
          <w:tcPr>
            <w:tcW w:type="dxa" w:w="1440"/>
          </w:tcPr>
          <w:p>
            <w:r>
              <w:rPr>
                <w:rFonts w:ascii="Calibri" w:hAnsi="Calibri"/>
                <w:sz w:val="22"/>
              </w:rPr>
              <w:t>Co-Chief Operating Officer</w:t>
            </w:r>
          </w:p>
        </w:tc>
        <w:tc>
          <w:tcPr>
            <w:tcW w:type="dxa" w:w="1440"/>
          </w:tcPr>
          <w:p>
            <w:r>
              <w:rPr>
                <w:rFonts w:ascii="Calibri" w:hAnsi="Calibri"/>
                <w:sz w:val="22"/>
              </w:rPr>
              <w:t>10b5-1 Planned Sale</w:t>
            </w:r>
          </w:p>
        </w:tc>
        <w:tc>
          <w:tcPr>
            <w:tcW w:type="dxa" w:w="1440"/>
          </w:tcPr>
          <w:p>
            <w:r>
              <w:rPr>
                <w:rFonts w:ascii="Calibri" w:hAnsi="Calibri"/>
                <w:sz w:val="22"/>
              </w:rPr>
              <w:t>3,900 shares (direct)</w:t>
            </w:r>
          </w:p>
        </w:tc>
        <w:tc>
          <w:tcPr>
            <w:tcW w:type="dxa" w:w="1440"/>
          </w:tcPr>
          <w:p>
            <w:r>
              <w:rPr>
                <w:rFonts w:ascii="Calibri" w:hAnsi="Calibri"/>
                <w:sz w:val="22"/>
              </w:rPr>
              <w:t>Jun 15, 2026</w:t>
            </w:r>
          </w:p>
        </w:tc>
        <w:tc>
          <w:tcPr>
            <w:tcW w:type="dxa" w:w="1440"/>
          </w:tcPr>
          <w:p>
            <w:r>
              <w:rPr>
                <w:rFonts w:ascii="Calibri" w:hAnsi="Calibri"/>
                <w:sz w:val="22"/>
              </w:rPr>
              <w:t>Pre-planned; routine 10b5-1 plan execution</w:t>
            </w:r>
          </w:p>
        </w:tc>
      </w:tr>
    </w:tbl>
    <w:p>
      <w:r>
        <w:rPr>
          <w:rFonts w:ascii="Calibri" w:hAnsi="Calibri"/>
          <w:i/>
          <w:color w:val="525866"/>
          <w:sz w:val="22"/>
        </w:rPr>
        <w:t>Source: SEC Form 4 Filings Database.</w:t>
      </w:r>
      <w:r>
        <w:rPr>
          <w:rFonts w:ascii="Calibri" w:hAnsi="Calibri"/>
          <w:i/>
          <w:color w:val="525866"/>
          <w:sz w:val="22"/>
        </w:rPr>
        <w:t xml:space="preserve"> All transactions are coded ‘S’ (open-market sale) but flagged as 10b5-1 pre-planned sales. No open-market discretionary buys or sells were filed in the period. Howley’s sales are indirect (through a family trust), consistent with estate planning. No clustered discretionary selling or unusual transaction sizes were observed. The absence of any open-market buying is unremarkable given TDG’s high share price (~$1,200–$1,350 range) and the company’s preference for returning capital via buybacks at the corporate level.</w:t>
      </w:r>
    </w:p>
    <w:p>
      <w:r>
        <w:br w:type="page"/>
      </w:r>
    </w:p>
    <w:p>
      <w:pPr>
        <w:pStyle w:val="Heading1"/>
        <w:pBdr>
          <w:bottom w:val="single" w:sz="4" w:space="1" w:color="FB9120"/>
        </w:pBdr>
      </w:pPr>
      <w:r>
        <w:rPr>
          <w:rFonts w:ascii="Calibri" w:hAnsi="Calibri"/>
          <w:b/>
          <w:color w:val="3B4259"/>
          <w:sz w:val="40"/>
        </w:rPr>
        <w:t>8. Peer Commentary Read-Through</w:t>
      </w:r>
    </w:p>
    <w:p>
      <w:r>
        <w:rPr>
          <w:rFonts w:ascii="Calibri" w:hAnsi="Calibri"/>
          <w:b/>
          <w:color w:val="525866"/>
          <w:sz w:val="22"/>
        </w:rPr>
        <w:t xml:space="preserve">Key Takeaway: </w:t>
      </w:r>
      <w:r>
        <w:rPr>
          <w:rFonts w:ascii="Calibri" w:hAnsi="Calibri"/>
          <w:color w:val="525866"/>
          <w:sz w:val="22"/>
        </w:rPr>
        <w:t xml:space="preserve">Peer commentary from the April–June 2026 quarter is uniformly positive for TDG’s three revenue channels — commercial aftermarket demand is robust and accelerating, commercial OEM production rates are rising, and defense bookings are at record levels. </w:t>
      </w:r>
      <w:r>
        <w:rPr>
          <w:rFonts w:ascii="Calibri" w:hAnsi="Calibri"/>
          <w:b/>
          <w:color w:val="525866"/>
          <w:sz w:val="22"/>
        </w:rPr>
        <w:t>The read-through from GE, RTX, Boeing, and Woodward collectively de-risks the Q3 FY2026 print and supports the high end of management’s guidance ranges.</w:t>
      </w:r>
    </w:p>
    <w:p>
      <w:r>
        <w:rPr>
          <w:rFonts w:ascii="Calibri" w:hAnsi="Calibri"/>
          <w:b/>
          <w:i/>
          <w:color w:val="525866"/>
          <w:sz w:val="22"/>
        </w:rPr>
        <w:t xml:space="preserve">Scope note: </w:t>
      </w:r>
      <w:r>
        <w:rPr>
          <w:rFonts w:ascii="Calibri" w:hAnsi="Calibri"/>
          <w:i/>
          <w:color w:val="525866"/>
          <w:sz w:val="22"/>
        </w:rPr>
        <w:t>All commentary below is drawn exclusively from earnings calls and releases covering the April–June 2026 quarter (Q2 CY2026 for GE, RTX, and Boeing; Q3 FY2026 for Woodward, whose fiscal year ends September 30). Commentary about prior quarters or future-only outlook has been excluded.</w:t>
      </w:r>
    </w:p>
    <w:p>
      <w:pPr>
        <w:pStyle w:val="Heading2"/>
      </w:pPr>
      <w:r>
        <w:rPr>
          <w:rFonts w:ascii="Calibri" w:hAnsi="Calibri"/>
          <w:b/>
          <w:color w:val="3B4259"/>
          <w:sz w:val="28"/>
        </w:rPr>
        <w:t>GE Aerospace — Q2 CY2026 Earnings (July 16, 2026)</w:t>
      </w:r>
    </w:p>
    <w:p>
      <w:r>
        <w:rPr>
          <w:rFonts w:ascii="Calibri" w:hAnsi="Calibri"/>
          <w:b/>
          <w:color w:val="525866"/>
          <w:sz w:val="22"/>
        </w:rPr>
        <w:t xml:space="preserve">Read-Through Signal: </w:t>
      </w:r>
      <w:r>
        <w:rPr>
          <w:rFonts w:ascii="Calibri" w:hAnsi="Calibri"/>
          <w:b/>
          <w:color w:val="30A46C"/>
          <w:sz w:val="22"/>
        </w:rPr>
        <w:t>Strongly Positive for Commercial Aftermarket &amp; Commercial OEM</w:t>
      </w:r>
    </w:p>
    <w:p>
      <w:pPr>
        <w:pStyle w:val="ListBullet"/>
        <w:ind w:left="360" w:hanging="360"/>
      </w:pPr>
      <w:r>
        <w:rPr>
          <w:rFonts w:ascii="Calibri" w:hAnsi="Calibri"/>
          <w:b/>
          <w:color w:val="525866"/>
          <w:sz w:val="22"/>
        </w:rPr>
        <w:t xml:space="preserve">Commercial Aftermarket / MRO Demand: </w:t>
      </w:r>
      <w:r>
        <w:rPr>
          <w:rFonts w:ascii="Calibri" w:hAnsi="Calibri"/>
          <w:color w:val="525866"/>
          <w:sz w:val="22"/>
        </w:rPr>
        <w:t xml:space="preserve">GE reported “record internal shop visit output in the second quarter and first half,” with commercial services revenue up 32% in H1. Spare parts sales increased “over 25% from improved material availability.” Internal shop visit revenue grew 25% from higher volume, including Leap internal shop visits up over 50%. Management explicitly stated: </w:t>
      </w:r>
      <w:r>
        <w:rPr>
          <w:rFonts w:ascii="Calibri" w:hAnsi="Calibri"/>
          <w:i/>
          <w:color w:val="525866"/>
          <w:sz w:val="22"/>
        </w:rPr>
        <w:t>“We do not have a demand problem.”</w:t>
      </w:r>
      <w:r>
        <w:rPr>
          <w:rFonts w:ascii="Calibri" w:hAnsi="Calibri"/>
          <w:color w:val="525866"/>
          <w:sz w:val="22"/>
        </w:rPr>
        <w:t xml:space="preserve"> The services backlog stands at $170 billion, and parked aircraft (particularly CFM56) “has actually declined since the beginning of March.” Shop visit outlook is “trending toward the high end of that 2,300–2,400 range this year and next.”</w:t>
      </w:r>
    </w:p>
    <w:p>
      <w:pPr>
        <w:pStyle w:val="ListBullet"/>
        <w:ind w:left="360" w:hanging="360"/>
      </w:pPr>
      <w:r>
        <w:rPr>
          <w:rFonts w:ascii="Calibri" w:hAnsi="Calibri"/>
          <w:b/>
          <w:color w:val="525866"/>
          <w:sz w:val="22"/>
        </w:rPr>
        <w:t xml:space="preserve">OEM Production: </w:t>
      </w:r>
      <w:r>
        <w:rPr>
          <w:rFonts w:ascii="Calibri" w:hAnsi="Calibri"/>
          <w:color w:val="525866"/>
          <w:sz w:val="22"/>
        </w:rPr>
        <w:t>Total engine deliveries were up 31%, including Leap engines up 41%. GE reduced CFM56 final assembly lead time by “nearly 50%” and improved total shop visit turnaround times by “about a week since the end of 2025.” Supplier material input increased “double digits sequentially and year over year.” Wide body deliveries were up 30%.</w:t>
      </w:r>
    </w:p>
    <w:p>
      <w:pPr>
        <w:pStyle w:val="ListBullet"/>
        <w:ind w:left="360" w:hanging="360"/>
      </w:pPr>
      <w:r>
        <w:rPr>
          <w:rFonts w:ascii="Calibri" w:hAnsi="Calibri"/>
          <w:b/>
          <w:color w:val="525866"/>
          <w:sz w:val="22"/>
        </w:rPr>
        <w:t xml:space="preserve">Pricing / Margins: </w:t>
      </w:r>
      <w:r>
        <w:rPr>
          <w:rFonts w:ascii="Calibri" w:hAnsi="Calibri"/>
          <w:color w:val="525866"/>
          <w:sz w:val="22"/>
        </w:rPr>
        <w:t>Operating profit grew 18%, driven by “services volume and price.” CES profit up 20% from “higher services volume and price.” Pricing approach for spare parts catalogue “going to be consistent with what we did last year,” implying stable pricing power. Leap services margins “getting better this year… expecting full year margin expansion.”</w:t>
      </w:r>
    </w:p>
    <w:p>
      <w:pPr>
        <w:pStyle w:val="ListBullet"/>
        <w:ind w:left="360" w:hanging="360"/>
      </w:pPr>
      <w:r>
        <w:rPr>
          <w:rFonts w:ascii="Calibri" w:hAnsi="Calibri"/>
          <w:b/>
          <w:i/>
          <w:color w:val="525866"/>
          <w:sz w:val="22"/>
        </w:rPr>
        <w:t xml:space="preserve">TDG Implication: </w:t>
      </w:r>
      <w:r>
        <w:rPr>
          <w:rFonts w:ascii="Calibri" w:hAnsi="Calibri"/>
          <w:i/>
          <w:color w:val="525866"/>
          <w:sz w:val="22"/>
        </w:rPr>
        <w:t>GE’s record MRO output and 25%+ spare parts growth directly benefit TDG’s commercial aftermarket segment, which derives the majority of its EBITDA from proprietary aftermarket parts. The ‘no demand problem’ framing and $170B services backlog de-risk any concern about a demand air pocket in Q3.</w:t>
      </w:r>
    </w:p>
    <w:p>
      <w:pPr>
        <w:pStyle w:val="Heading2"/>
      </w:pPr>
      <w:r>
        <w:rPr>
          <w:rFonts w:ascii="Calibri" w:hAnsi="Calibri"/>
          <w:b/>
          <w:color w:val="3B4259"/>
          <w:sz w:val="28"/>
        </w:rPr>
        <w:t>RTX Corporation — Q2 CY2026 Earnings (July 23, 2026)</w:t>
      </w:r>
    </w:p>
    <w:p>
      <w:r>
        <w:rPr>
          <w:rFonts w:ascii="Calibri" w:hAnsi="Calibri"/>
          <w:b/>
          <w:color w:val="525866"/>
          <w:sz w:val="22"/>
        </w:rPr>
        <w:t xml:space="preserve">Read-Through Signal: </w:t>
      </w:r>
      <w:r>
        <w:rPr>
          <w:rFonts w:ascii="Calibri" w:hAnsi="Calibri"/>
          <w:b/>
          <w:color w:val="30A46C"/>
          <w:sz w:val="22"/>
        </w:rPr>
        <w:t>Strongly Positive for Commercial Aftermarket &amp; Defense</w:t>
      </w:r>
    </w:p>
    <w:p>
      <w:pPr>
        <w:pStyle w:val="ListBullet"/>
        <w:ind w:left="360" w:hanging="360"/>
      </w:pPr>
      <w:r>
        <w:rPr>
          <w:rFonts w:ascii="Calibri" w:hAnsi="Calibri"/>
          <w:b/>
          <w:color w:val="525866"/>
          <w:sz w:val="22"/>
        </w:rPr>
        <w:t xml:space="preserve">Commercial Aftermarket: </w:t>
      </w:r>
      <w:r>
        <w:rPr>
          <w:rFonts w:ascii="Calibri" w:hAnsi="Calibri"/>
          <w:color w:val="525866"/>
          <w:sz w:val="22"/>
        </w:rPr>
        <w:t>RTX’s commercial aftermarket sales were up 18% organically YoY across the company. Collins Aerospace commercial aftermarket up 10% (parts &amp; repair +11%, mods &amp; upgrades +11%, provisioning +7%). Pratt &amp; Whitney commercial aftermarket up 25%, driven by higher MRO volume. PW1100 AOGs down 25% year-to-date, with MRO output up over 40% YoY and turnaround time reduced 23%. GTF aftermarket margins “continue to be in the low double digits.”</w:t>
      </w:r>
    </w:p>
    <w:p>
      <w:pPr>
        <w:pStyle w:val="ListBullet"/>
        <w:ind w:left="360" w:hanging="360"/>
      </w:pPr>
      <w:r>
        <w:rPr>
          <w:rFonts w:ascii="Calibri" w:hAnsi="Calibri"/>
          <w:b/>
          <w:color w:val="525866"/>
          <w:sz w:val="22"/>
        </w:rPr>
        <w:t xml:space="preserve">Commercial OEM: </w:t>
      </w:r>
      <w:r>
        <w:rPr>
          <w:rFonts w:ascii="Calibri" w:hAnsi="Calibri"/>
          <w:color w:val="525866"/>
          <w:sz w:val="22"/>
        </w:rPr>
        <w:t>Collins commercial OE sales up 26%, driven by higher volume on narrowbody and widebody platforms. RTX received over $20B in OE and aftermarket orders in Q2. AirAsia placed an order for 150 A220 aircraft (exclusively GTF-powered), expanding the installed base. Pratt commercial OE sales were down 8% due to mix (material flow prioritized for MRO shops), but this is a deliberate allocation decision, not a demand issue.</w:t>
      </w:r>
    </w:p>
    <w:p>
      <w:pPr>
        <w:pStyle w:val="ListBullet"/>
        <w:ind w:left="360" w:hanging="360"/>
      </w:pPr>
      <w:r>
        <w:rPr>
          <w:rFonts w:ascii="Calibri" w:hAnsi="Calibri"/>
          <w:b/>
          <w:color w:val="525866"/>
          <w:sz w:val="22"/>
        </w:rPr>
        <w:t xml:space="preserve">Defense: </w:t>
      </w:r>
      <w:r>
        <w:rPr>
          <w:rFonts w:ascii="Calibri" w:hAnsi="Calibri"/>
          <w:color w:val="525866"/>
          <w:sz w:val="22"/>
        </w:rPr>
        <w:t>Raytheon booked nearly $20B in awards in Q2, resulting in a book-to-bill of 2.4x. Bookings included over $5B for GMT Patriot effectors and over $4B in classified awards. Defense sales up 16% organically. Raytheon backlog at $86B (48% international). Collins defense sales up 7%; Pratt military engine sales up 23% (F135 volume). Raytheon expanded margins 100 bps YoY to 12.6%.</w:t>
      </w:r>
    </w:p>
    <w:p>
      <w:pPr>
        <w:pStyle w:val="ListBullet"/>
        <w:ind w:left="360" w:hanging="360"/>
      </w:pPr>
      <w:r>
        <w:rPr>
          <w:rFonts w:ascii="Calibri" w:hAnsi="Calibri"/>
          <w:b/>
          <w:color w:val="525866"/>
          <w:sz w:val="22"/>
        </w:rPr>
        <w:t xml:space="preserve">Pricing / Margins: </w:t>
      </w:r>
      <w:r>
        <w:rPr>
          <w:rFonts w:ascii="Calibri" w:hAnsi="Calibri"/>
          <w:color w:val="525866"/>
          <w:sz w:val="22"/>
        </w:rPr>
        <w:t>Adjusted EPS up 21% YoY. Segment operating profit up 18%, with margins expanding 40 bps. All three segments expanded margins. International backlog “helps drive a little bit better pricing and productivity.”</w:t>
      </w:r>
    </w:p>
    <w:p>
      <w:pPr>
        <w:pStyle w:val="ListBullet"/>
        <w:ind w:left="360" w:hanging="360"/>
      </w:pPr>
      <w:r>
        <w:rPr>
          <w:rFonts w:ascii="Calibri" w:hAnsi="Calibri"/>
          <w:b/>
          <w:i/>
          <w:color w:val="525866"/>
          <w:sz w:val="22"/>
        </w:rPr>
        <w:t xml:space="preserve">TDG Implication: </w:t>
      </w:r>
      <w:r>
        <w:rPr>
          <w:rFonts w:ascii="Calibri" w:hAnsi="Calibri"/>
          <w:i/>
          <w:color w:val="525866"/>
          <w:sz w:val="22"/>
        </w:rPr>
        <w:t>RTX’s 18% commercial aftermarket growth and 2.4x defense book-to-bill are the strongest peer signals for TDG’s two highest-margin channels. The Pratt GTF aftermarket growing at 25% with low-double-digit margins is particularly relevant given TDG’s significant engine content exposure.</w:t>
      </w:r>
    </w:p>
    <w:p>
      <w:pPr>
        <w:pStyle w:val="Heading2"/>
      </w:pPr>
      <w:r>
        <w:rPr>
          <w:rFonts w:ascii="Calibri" w:hAnsi="Calibri"/>
          <w:b/>
          <w:color w:val="3B4259"/>
          <w:sz w:val="28"/>
        </w:rPr>
        <w:t>Boeing — Q2 CY2026 Earnings (July 28, 2026)</w:t>
      </w:r>
    </w:p>
    <w:p>
      <w:r>
        <w:rPr>
          <w:rFonts w:ascii="Calibri" w:hAnsi="Calibri"/>
          <w:b/>
          <w:color w:val="525866"/>
          <w:sz w:val="22"/>
        </w:rPr>
        <w:t xml:space="preserve">Read-Through Signal: </w:t>
      </w:r>
      <w:r>
        <w:rPr>
          <w:rFonts w:ascii="Calibri" w:hAnsi="Calibri"/>
          <w:b/>
          <w:color w:val="30A46C"/>
          <w:sz w:val="22"/>
        </w:rPr>
        <w:t>Positive for Commercial OEM; Mixed on Aftermarket Margins</w:t>
      </w:r>
    </w:p>
    <w:p>
      <w:pPr>
        <w:pStyle w:val="ListBullet"/>
        <w:ind w:left="360" w:hanging="360"/>
      </w:pPr>
      <w:r>
        <w:rPr>
          <w:rFonts w:ascii="Calibri" w:hAnsi="Calibri"/>
          <w:b/>
          <w:color w:val="525866"/>
          <w:sz w:val="22"/>
        </w:rPr>
        <w:t xml:space="preserve">Commercial Aftermarket (BGS): </w:t>
      </w:r>
      <w:r>
        <w:rPr>
          <w:rFonts w:ascii="Calibri" w:hAnsi="Calibri"/>
          <w:color w:val="525866"/>
          <w:sz w:val="22"/>
        </w:rPr>
        <w:t>Boeing Global Services revenue up 8% ex-divestiture, with both commercial and government businesses delivering “double digit margins in the quarter.” BGS received $5B of orders and ended Q2 with a $33B backlog. Management noted: “So far, we have not seen a material impact in the commercial service business from the conflict in the Middle East.” BGS operating margin of 18.1% was down YoY due to the Digital Aviation Solutions divestiture and higher costs, but underlying commercial and government margins remain double-digit.</w:t>
      </w:r>
    </w:p>
    <w:p>
      <w:pPr>
        <w:pStyle w:val="ListBullet"/>
        <w:ind w:left="360" w:hanging="360"/>
      </w:pPr>
      <w:r>
        <w:rPr>
          <w:rFonts w:ascii="Calibri" w:hAnsi="Calibri"/>
          <w:b/>
          <w:color w:val="525866"/>
          <w:sz w:val="22"/>
        </w:rPr>
        <w:t xml:space="preserve">Commercial OEM Production Ramp: </w:t>
      </w:r>
      <w:r>
        <w:rPr>
          <w:rFonts w:ascii="Calibri" w:hAnsi="Calibri"/>
          <w:color w:val="525866"/>
          <w:sz w:val="22"/>
        </w:rPr>
        <w:t>Boeing delivered 171 aircraft in Q2 — the highest quarterly total since 2018. 737 production ramping to 47/month (targeting 52/month next). 787 stabilized at 8/month (targeting 10/month later in 2026). BCA revenue up 8% on higher deliveries and favorable mix. BCA backlog at a record $597B (6,200+ aircraft). Boeing noted seat certification delays may make deliveries “a little bit lumpy” through year-end.</w:t>
      </w:r>
    </w:p>
    <w:p>
      <w:pPr>
        <w:pStyle w:val="ListBullet"/>
        <w:ind w:left="360" w:hanging="360"/>
      </w:pPr>
      <w:r>
        <w:rPr>
          <w:rFonts w:ascii="Calibri" w:hAnsi="Calibri"/>
          <w:b/>
          <w:color w:val="525866"/>
          <w:sz w:val="22"/>
        </w:rPr>
        <w:t xml:space="preserve">Supply Chain: </w:t>
      </w:r>
      <w:r>
        <w:rPr>
          <w:rFonts w:ascii="Calibri" w:hAnsi="Calibri"/>
          <w:color w:val="525866"/>
          <w:sz w:val="22"/>
        </w:rPr>
        <w:t>Boeing temporarily slowed production for several days in April to allow supply chain recovery. For rates 47 and 52, Boeing is “comforted” by inventory and CFM engine deliveries. For higher rates (57–63), supply chain work remains ongoing, particularly at tier 2/3 suppliers.</w:t>
      </w:r>
    </w:p>
    <w:p>
      <w:pPr>
        <w:pStyle w:val="ListBullet"/>
        <w:ind w:left="360" w:hanging="360"/>
      </w:pPr>
      <w:r>
        <w:rPr>
          <w:rFonts w:ascii="Calibri" w:hAnsi="Calibri"/>
          <w:b/>
          <w:color w:val="525866"/>
          <w:sz w:val="22"/>
        </w:rPr>
        <w:t xml:space="preserve">Defense: </w:t>
      </w:r>
      <w:r>
        <w:rPr>
          <w:rFonts w:ascii="Calibri" w:hAnsi="Calibri"/>
          <w:color w:val="525866"/>
          <w:sz w:val="22"/>
        </w:rPr>
        <w:t>BDS revenue up 13% to $7.5B, driven by classified programs, missiles &amp; weapons, and KC-46. BDS booked $7B in orders; backlog at $85B. Demand signal on defense products “remains very strong, with notable increased demand in missiles and munitions.”</w:t>
      </w:r>
    </w:p>
    <w:p>
      <w:pPr>
        <w:pStyle w:val="ListBullet"/>
        <w:ind w:left="360" w:hanging="360"/>
      </w:pPr>
      <w:r>
        <w:rPr>
          <w:rFonts w:ascii="Calibri" w:hAnsi="Calibri"/>
          <w:b/>
          <w:i/>
          <w:color w:val="525866"/>
          <w:sz w:val="22"/>
        </w:rPr>
        <w:t xml:space="preserve">TDG Implication: </w:t>
      </w:r>
      <w:r>
        <w:rPr>
          <w:rFonts w:ascii="Calibri" w:hAnsi="Calibri"/>
          <w:i/>
          <w:color w:val="525866"/>
          <w:sz w:val="22"/>
        </w:rPr>
        <w:t>Boeing’s record deliveries and production ramp are a direct positive for TDG’s commercial OEM segment. The ‘no material impact’ from Middle East conflict on BGS is reassuring for TDG’s aftermarket. The supply chain lumpiness at higher rates (57–63/month) is a watch item but not an immediate Q3 risk.</w:t>
      </w:r>
    </w:p>
    <w:p>
      <w:pPr>
        <w:pStyle w:val="Heading2"/>
      </w:pPr>
      <w:r>
        <w:rPr>
          <w:rFonts w:ascii="Calibri" w:hAnsi="Calibri"/>
          <w:b/>
          <w:color w:val="3B4259"/>
          <w:sz w:val="28"/>
        </w:rPr>
        <w:t>Woodward (WWD) — Q3 FY2026 Earnings (July 29, 2026)</w:t>
      </w:r>
    </w:p>
    <w:p>
      <w:r>
        <w:rPr>
          <w:rFonts w:ascii="Calibri" w:hAnsi="Calibri"/>
          <w:b/>
          <w:color w:val="525866"/>
          <w:sz w:val="22"/>
        </w:rPr>
        <w:t xml:space="preserve">Read-Through Signal: </w:t>
      </w:r>
      <w:r>
        <w:rPr>
          <w:rFonts w:ascii="Calibri" w:hAnsi="Calibri"/>
          <w:b/>
          <w:color w:val="30A46C"/>
          <w:sz w:val="22"/>
        </w:rPr>
        <w:t>Strongly Positive for Commercial Aftermarket, OEM, and Pricing</w:t>
      </w:r>
    </w:p>
    <w:p>
      <w:pPr>
        <w:pStyle w:val="ListBullet"/>
        <w:ind w:left="360" w:hanging="360"/>
      </w:pPr>
      <w:r>
        <w:rPr>
          <w:rFonts w:ascii="Calibri" w:hAnsi="Calibri"/>
          <w:b/>
          <w:color w:val="525866"/>
          <w:sz w:val="22"/>
        </w:rPr>
        <w:t xml:space="preserve">Commercial Aftermarket: </w:t>
      </w:r>
      <w:r>
        <w:rPr>
          <w:rFonts w:ascii="Calibri" w:hAnsi="Calibri"/>
          <w:color w:val="525866"/>
          <w:sz w:val="22"/>
        </w:rPr>
        <w:t>Commercial services sales increased 24% in Q3 FY2026, reflecting “continued strength across the business.” Growth was attributed to “high utilization of legacy aircraft, growing Leap and GTF activity in solid service demand across wide body and regional platforms.” Inputs from airline customers and MRO shops were described as “fairly steady, steady to increasing” across the GTF portfolio and “quite steady on the legacy, wide body and regional” — with “no real slowdown.” Spare LRUs “performed very well” and were “strong” in Q3. Legacy engine programs (CFM56, V2500) continue to be strong despite flight activity being “essentially flat year to date,” with the legacy business “hanging on better than initially modeled” in terms of price, work scope, and volume.</w:t>
      </w:r>
    </w:p>
    <w:p>
      <w:pPr>
        <w:pStyle w:val="ListBullet"/>
        <w:ind w:left="360" w:hanging="360"/>
      </w:pPr>
      <w:r>
        <w:rPr>
          <w:rFonts w:ascii="Calibri" w:hAnsi="Calibri"/>
          <w:b/>
          <w:color w:val="525866"/>
          <w:sz w:val="22"/>
        </w:rPr>
        <w:t xml:space="preserve">Sequential Note: </w:t>
      </w:r>
      <w:r>
        <w:rPr>
          <w:rFonts w:ascii="Calibri" w:hAnsi="Calibri"/>
          <w:color w:val="525866"/>
          <w:sz w:val="22"/>
        </w:rPr>
        <w:t>Commercial aftermarket revenue was down sequentially in Q3 vs. Q2, but management attributed this to a Q2 pull-forward (clearing delayed Q1 shipments in Q2). Year-over-year growth was “pretty strong” and management said “I wouldn’t read too much into it.” This is relevant for TDG: if WWD saw a similar Q2 pull-forward dynamic, TDG’s Q3 CAM could also face a modest sequential headwind, though the YoY comparison remains favorable.</w:t>
      </w:r>
    </w:p>
    <w:p>
      <w:pPr>
        <w:pStyle w:val="ListBullet"/>
        <w:ind w:left="360" w:hanging="360"/>
      </w:pPr>
      <w:r>
        <w:rPr>
          <w:rFonts w:ascii="Calibri" w:hAnsi="Calibri"/>
          <w:b/>
          <w:color w:val="525866"/>
          <w:sz w:val="22"/>
        </w:rPr>
        <w:t xml:space="preserve">Commercial OEM: </w:t>
      </w:r>
      <w:r>
        <w:rPr>
          <w:rFonts w:ascii="Calibri" w:hAnsi="Calibri"/>
          <w:color w:val="525866"/>
          <w:sz w:val="22"/>
        </w:rPr>
        <w:t>Commercial OEM sales increased 34% in Q3, with output “generally aligned with steadily increasing airframe build rates.” Customer stocking levels have “returned to normal to slightly below what their MRP systems would like,” resulting in “a strong pull on delivery.” Supply chain visibility and predictability “continue to improve,” though castings, forgings, and rare earth metals remain areas of concern.</w:t>
      </w:r>
    </w:p>
    <w:p>
      <w:pPr>
        <w:pStyle w:val="ListBullet"/>
        <w:ind w:left="360" w:hanging="360"/>
      </w:pPr>
      <w:r>
        <w:rPr>
          <w:rFonts w:ascii="Calibri" w:hAnsi="Calibri"/>
          <w:b/>
          <w:color w:val="525866"/>
          <w:sz w:val="22"/>
        </w:rPr>
        <w:t xml:space="preserve">Pricing / Margins: </w:t>
      </w:r>
      <w:r>
        <w:rPr>
          <w:rFonts w:ascii="Calibri" w:hAnsi="Calibri"/>
          <w:color w:val="525866"/>
          <w:sz w:val="22"/>
        </w:rPr>
        <w:t>Aerospace segment margins expanded to 24% (vs. 21.1% prior year), driven by “strong price realization and increased leverage from higher sales volume.” Overall price realization was 10%, with aerospace contributing “more than 10%.” A one-time retroactive pricing adjustment contributed ~100 bps to aerospace margins; even excluding this, the clean incremental margin was ~31%. Industrial segment margins expanded to 22.1% (vs. 14.9% prior year).</w:t>
      </w:r>
    </w:p>
    <w:p>
      <w:pPr>
        <w:pStyle w:val="ListBullet"/>
        <w:ind w:left="360" w:hanging="360"/>
      </w:pPr>
      <w:r>
        <w:rPr>
          <w:rFonts w:ascii="Calibri" w:hAnsi="Calibri"/>
          <w:b/>
          <w:i/>
          <w:color w:val="525866"/>
          <w:sz w:val="22"/>
        </w:rPr>
        <w:t xml:space="preserve">TDG Implication: </w:t>
      </w:r>
      <w:r>
        <w:rPr>
          <w:rFonts w:ascii="Calibri" w:hAnsi="Calibri"/>
          <w:i/>
          <w:color w:val="525866"/>
          <w:sz w:val="22"/>
        </w:rPr>
        <w:t>WWD’s 10%+ aerospace price realization and 24% segment margins are the most direct read-through for TDG’s pricing power and margin trajectory. The ‘steady to increasing’ MRO inputs and ‘no real slowdown’ commentary directly de-risk TDG’s commercial aftermarket guidance. The sequential CAM decline at WWD is worth monitoring but management’s explanation (Q2 pull-forward) is consistent with TDG’s own Q2 commentary about all-time high CAM bookings.</w:t>
      </w:r>
    </w:p>
    <w:p>
      <w:pPr>
        <w:pStyle w:val="Heading2"/>
      </w:pPr>
      <w:r>
        <w:rPr>
          <w:rFonts w:ascii="Calibri" w:hAnsi="Calibri"/>
          <w:b/>
          <w:color w:val="3B4259"/>
          <w:sz w:val="28"/>
        </w:rPr>
        <w:t>Peer Read-Through Summary Table</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Peer</w:t>
            </w:r>
          </w:p>
        </w:tc>
        <w:tc>
          <w:tcPr>
            <w:tcW w:type="dxa" w:w="1234"/>
            <w:shd w:val="clear" w:color="auto" w:fill="3B4259"/>
          </w:tcPr>
          <w:p>
            <w:r>
              <w:rPr>
                <w:rFonts w:ascii="Calibri" w:hAnsi="Calibri"/>
                <w:b/>
                <w:color w:val="FFFFFF"/>
                <w:sz w:val="22"/>
              </w:rPr>
              <w:t>Report Date</w:t>
            </w:r>
          </w:p>
        </w:tc>
        <w:tc>
          <w:tcPr>
            <w:tcW w:type="dxa" w:w="1234"/>
            <w:shd w:val="clear" w:color="auto" w:fill="3B4259"/>
          </w:tcPr>
          <w:p>
            <w:r>
              <w:rPr>
                <w:rFonts w:ascii="Calibri" w:hAnsi="Calibri"/>
                <w:b/>
                <w:color w:val="FFFFFF"/>
                <w:sz w:val="22"/>
              </w:rPr>
              <w:t>Commercial Aftermarket Signal</w:t>
            </w:r>
          </w:p>
        </w:tc>
        <w:tc>
          <w:tcPr>
            <w:tcW w:type="dxa" w:w="1234"/>
            <w:shd w:val="clear" w:color="auto" w:fill="3B4259"/>
          </w:tcPr>
          <w:p>
            <w:r>
              <w:rPr>
                <w:rFonts w:ascii="Calibri" w:hAnsi="Calibri"/>
                <w:b/>
                <w:color w:val="FFFFFF"/>
                <w:sz w:val="22"/>
              </w:rPr>
              <w:t>Commercial OEM Signal</w:t>
            </w:r>
          </w:p>
        </w:tc>
        <w:tc>
          <w:tcPr>
            <w:tcW w:type="dxa" w:w="1234"/>
            <w:shd w:val="clear" w:color="auto" w:fill="3B4259"/>
          </w:tcPr>
          <w:p>
            <w:r>
              <w:rPr>
                <w:rFonts w:ascii="Calibri" w:hAnsi="Calibri"/>
                <w:b/>
                <w:color w:val="FFFFFF"/>
                <w:sz w:val="22"/>
              </w:rPr>
              <w:t>Defense Signal</w:t>
            </w:r>
          </w:p>
        </w:tc>
        <w:tc>
          <w:tcPr>
            <w:tcW w:type="dxa" w:w="1234"/>
            <w:shd w:val="clear" w:color="auto" w:fill="3B4259"/>
          </w:tcPr>
          <w:p>
            <w:r>
              <w:rPr>
                <w:rFonts w:ascii="Calibri" w:hAnsi="Calibri"/>
                <w:b/>
                <w:color w:val="FFFFFF"/>
                <w:sz w:val="22"/>
              </w:rPr>
              <w:t>Pricing / Margin Signal</w:t>
            </w:r>
          </w:p>
        </w:tc>
        <w:tc>
          <w:tcPr>
            <w:tcW w:type="dxa" w:w="1234"/>
            <w:shd w:val="clear" w:color="auto" w:fill="3B4259"/>
          </w:tcPr>
          <w:p>
            <w:r>
              <w:rPr>
                <w:rFonts w:ascii="Calibri" w:hAnsi="Calibri"/>
                <w:b/>
                <w:color w:val="FFFFFF"/>
                <w:sz w:val="22"/>
              </w:rPr>
              <w:t>Net TDG Read-Through</w:t>
            </w:r>
          </w:p>
        </w:tc>
      </w:tr>
      <w:tr>
        <w:tc>
          <w:tcPr>
            <w:tcW w:type="dxa" w:w="1234"/>
          </w:tcPr>
          <w:p>
            <w:r>
              <w:rPr>
                <w:rFonts w:ascii="Calibri" w:hAnsi="Calibri"/>
                <w:sz w:val="22"/>
              </w:rPr>
              <w:t>GE Aerospace</w:t>
            </w:r>
          </w:p>
        </w:tc>
        <w:tc>
          <w:tcPr>
            <w:tcW w:type="dxa" w:w="1234"/>
          </w:tcPr>
          <w:p>
            <w:r>
              <w:rPr>
                <w:rFonts w:ascii="Calibri" w:hAnsi="Calibri"/>
                <w:sz w:val="22"/>
              </w:rPr>
              <w:t>Jul 16, 2026</w:t>
            </w:r>
          </w:p>
        </w:tc>
        <w:tc>
          <w:tcPr>
            <w:tcW w:type="dxa" w:w="1234"/>
          </w:tcPr>
          <w:p>
            <w:r>
              <w:rPr>
                <w:rFonts w:ascii="Calibri" w:hAnsi="Calibri"/>
                <w:b/>
                <w:color w:val="30A46C"/>
                <w:sz w:val="22"/>
              </w:rPr>
              <w:t>Strongly Positive</w:t>
            </w:r>
          </w:p>
        </w:tc>
        <w:tc>
          <w:tcPr>
            <w:tcW w:type="dxa" w:w="1234"/>
          </w:tcPr>
          <w:p>
            <w:r>
              <w:rPr>
                <w:rFonts w:ascii="Calibri" w:hAnsi="Calibri"/>
                <w:b/>
                <w:color w:val="30A46C"/>
                <w:sz w:val="22"/>
              </w:rPr>
              <w:t>Positive</w:t>
            </w:r>
          </w:p>
        </w:tc>
        <w:tc>
          <w:tcPr>
            <w:tcW w:type="dxa" w:w="1234"/>
          </w:tcPr>
          <w:p>
            <w:r>
              <w:rPr>
                <w:rFonts w:ascii="Calibri" w:hAnsi="Calibri"/>
                <w:b/>
                <w:color w:val="30A46C"/>
                <w:sz w:val="22"/>
              </w:rPr>
              <w:t>Positive</w:t>
            </w:r>
          </w:p>
        </w:tc>
        <w:tc>
          <w:tcPr>
            <w:tcW w:type="dxa" w:w="1234"/>
          </w:tcPr>
          <w:p>
            <w:r>
              <w:rPr>
                <w:rFonts w:ascii="Calibri" w:hAnsi="Calibri"/>
                <w:b/>
                <w:color w:val="30A46C"/>
                <w:sz w:val="22"/>
              </w:rPr>
              <w:t>Positive</w:t>
            </w:r>
          </w:p>
        </w:tc>
        <w:tc>
          <w:tcPr>
            <w:tcW w:type="dxa" w:w="1234"/>
          </w:tcPr>
          <w:p>
            <w:r>
              <w:rPr>
                <w:rFonts w:ascii="Calibri" w:hAnsi="Calibri"/>
                <w:b/>
                <w:color w:val="30A46C"/>
                <w:sz w:val="22"/>
              </w:rPr>
              <w:t>Strongly Positive</w:t>
            </w:r>
          </w:p>
        </w:tc>
      </w:tr>
      <w:tr>
        <w:tc>
          <w:tcPr>
            <w:tcW w:type="dxa" w:w="1234"/>
          </w:tcPr>
          <w:p>
            <w:r>
              <w:rPr>
                <w:rFonts w:ascii="Calibri" w:hAnsi="Calibri"/>
                <w:sz w:val="22"/>
              </w:rPr>
              <w:t>RTX Corporation</w:t>
            </w:r>
          </w:p>
        </w:tc>
        <w:tc>
          <w:tcPr>
            <w:tcW w:type="dxa" w:w="1234"/>
          </w:tcPr>
          <w:p>
            <w:r>
              <w:rPr>
                <w:rFonts w:ascii="Calibri" w:hAnsi="Calibri"/>
                <w:sz w:val="22"/>
              </w:rPr>
              <w:t>Jul 23, 2026</w:t>
            </w:r>
          </w:p>
        </w:tc>
        <w:tc>
          <w:tcPr>
            <w:tcW w:type="dxa" w:w="1234"/>
          </w:tcPr>
          <w:p>
            <w:r>
              <w:rPr>
                <w:rFonts w:ascii="Calibri" w:hAnsi="Calibri"/>
                <w:b/>
                <w:color w:val="30A46C"/>
                <w:sz w:val="22"/>
              </w:rPr>
              <w:t>Strongly Positive</w:t>
            </w:r>
          </w:p>
        </w:tc>
        <w:tc>
          <w:tcPr>
            <w:tcW w:type="dxa" w:w="1234"/>
          </w:tcPr>
          <w:p>
            <w:r>
              <w:rPr>
                <w:rFonts w:ascii="Calibri" w:hAnsi="Calibri"/>
                <w:b/>
                <w:color w:val="30A46C"/>
                <w:sz w:val="22"/>
              </w:rPr>
              <w:t>Positive</w:t>
            </w:r>
          </w:p>
        </w:tc>
        <w:tc>
          <w:tcPr>
            <w:tcW w:type="dxa" w:w="1234"/>
          </w:tcPr>
          <w:p>
            <w:r>
              <w:rPr>
                <w:rFonts w:ascii="Calibri" w:hAnsi="Calibri"/>
                <w:b/>
                <w:color w:val="30A46C"/>
                <w:sz w:val="22"/>
              </w:rPr>
              <w:t>Strongly Positive</w:t>
            </w:r>
          </w:p>
        </w:tc>
        <w:tc>
          <w:tcPr>
            <w:tcW w:type="dxa" w:w="1234"/>
          </w:tcPr>
          <w:p>
            <w:r>
              <w:rPr>
                <w:rFonts w:ascii="Calibri" w:hAnsi="Calibri"/>
                <w:b/>
                <w:color w:val="30A46C"/>
                <w:sz w:val="22"/>
              </w:rPr>
              <w:t>Positive</w:t>
            </w:r>
          </w:p>
        </w:tc>
        <w:tc>
          <w:tcPr>
            <w:tcW w:type="dxa" w:w="1234"/>
          </w:tcPr>
          <w:p>
            <w:r>
              <w:rPr>
                <w:rFonts w:ascii="Calibri" w:hAnsi="Calibri"/>
                <w:b/>
                <w:color w:val="30A46C"/>
                <w:sz w:val="22"/>
              </w:rPr>
              <w:t>Strongly Positive</w:t>
            </w:r>
          </w:p>
        </w:tc>
      </w:tr>
      <w:tr>
        <w:tc>
          <w:tcPr>
            <w:tcW w:type="dxa" w:w="1234"/>
          </w:tcPr>
          <w:p>
            <w:r>
              <w:rPr>
                <w:rFonts w:ascii="Calibri" w:hAnsi="Calibri"/>
                <w:sz w:val="22"/>
              </w:rPr>
              <w:t>Boeing</w:t>
            </w:r>
          </w:p>
        </w:tc>
        <w:tc>
          <w:tcPr>
            <w:tcW w:type="dxa" w:w="1234"/>
          </w:tcPr>
          <w:p>
            <w:r>
              <w:rPr>
                <w:rFonts w:ascii="Calibri" w:hAnsi="Calibri"/>
                <w:sz w:val="22"/>
              </w:rPr>
              <w:t>Jul 28, 2026</w:t>
            </w:r>
          </w:p>
        </w:tc>
        <w:tc>
          <w:tcPr>
            <w:tcW w:type="dxa" w:w="1234"/>
          </w:tcPr>
          <w:p>
            <w:r>
              <w:rPr>
                <w:rFonts w:ascii="Calibri" w:hAnsi="Calibri"/>
                <w:b/>
                <w:color w:val="30A46C"/>
                <w:sz w:val="22"/>
              </w:rPr>
              <w:t>Positive</w:t>
            </w:r>
          </w:p>
        </w:tc>
        <w:tc>
          <w:tcPr>
            <w:tcW w:type="dxa" w:w="1234"/>
          </w:tcPr>
          <w:p>
            <w:r>
              <w:rPr>
                <w:rFonts w:ascii="Calibri" w:hAnsi="Calibri"/>
                <w:b/>
                <w:color w:val="30A46C"/>
                <w:sz w:val="22"/>
              </w:rPr>
              <w:t>Strongly Positive</w:t>
            </w:r>
          </w:p>
        </w:tc>
        <w:tc>
          <w:tcPr>
            <w:tcW w:type="dxa" w:w="1234"/>
          </w:tcPr>
          <w:p>
            <w:r>
              <w:rPr>
                <w:rFonts w:ascii="Calibri" w:hAnsi="Calibri"/>
                <w:b/>
                <w:color w:val="30A46C"/>
                <w:sz w:val="22"/>
              </w:rPr>
              <w:t>Positive</w:t>
            </w:r>
          </w:p>
        </w:tc>
        <w:tc>
          <w:tcPr>
            <w:tcW w:type="dxa" w:w="1234"/>
          </w:tcPr>
          <w:p>
            <w:r>
              <w:rPr>
                <w:rFonts w:ascii="Calibri" w:hAnsi="Calibri"/>
                <w:b/>
                <w:color w:val="002FA7"/>
                <w:sz w:val="22"/>
              </w:rPr>
              <w:t>Mixed</w:t>
            </w:r>
          </w:p>
        </w:tc>
        <w:tc>
          <w:tcPr>
            <w:tcW w:type="dxa" w:w="1234"/>
          </w:tcPr>
          <w:p>
            <w:r>
              <w:rPr>
                <w:rFonts w:ascii="Calibri" w:hAnsi="Calibri"/>
                <w:b/>
                <w:color w:val="30A46C"/>
                <w:sz w:val="22"/>
              </w:rPr>
              <w:t>Positive</w:t>
            </w:r>
          </w:p>
        </w:tc>
      </w:tr>
      <w:tr>
        <w:tc>
          <w:tcPr>
            <w:tcW w:type="dxa" w:w="1234"/>
          </w:tcPr>
          <w:p>
            <w:r>
              <w:rPr>
                <w:rFonts w:ascii="Calibri" w:hAnsi="Calibri"/>
                <w:sz w:val="22"/>
              </w:rPr>
              <w:t>Woodward (WWD)</w:t>
            </w:r>
          </w:p>
        </w:tc>
        <w:tc>
          <w:tcPr>
            <w:tcW w:type="dxa" w:w="1234"/>
          </w:tcPr>
          <w:p>
            <w:r>
              <w:rPr>
                <w:rFonts w:ascii="Calibri" w:hAnsi="Calibri"/>
                <w:sz w:val="22"/>
              </w:rPr>
              <w:t>Jul 29, 2026</w:t>
            </w:r>
          </w:p>
        </w:tc>
        <w:tc>
          <w:tcPr>
            <w:tcW w:type="dxa" w:w="1234"/>
          </w:tcPr>
          <w:p>
            <w:r>
              <w:rPr>
                <w:rFonts w:ascii="Calibri" w:hAnsi="Calibri"/>
                <w:b/>
                <w:color w:val="30A46C"/>
                <w:sz w:val="22"/>
              </w:rPr>
              <w:t>Strongly Positive</w:t>
            </w:r>
          </w:p>
        </w:tc>
        <w:tc>
          <w:tcPr>
            <w:tcW w:type="dxa" w:w="1234"/>
          </w:tcPr>
          <w:p>
            <w:r>
              <w:rPr>
                <w:rFonts w:ascii="Calibri" w:hAnsi="Calibri"/>
                <w:b/>
                <w:color w:val="30A46C"/>
                <w:sz w:val="22"/>
              </w:rPr>
              <w:t>Strongly Positive</w:t>
            </w:r>
          </w:p>
        </w:tc>
        <w:tc>
          <w:tcPr>
            <w:tcW w:type="dxa" w:w="1234"/>
          </w:tcPr>
          <w:p>
            <w:r>
              <w:rPr>
                <w:rFonts w:ascii="Calibri" w:hAnsi="Calibri"/>
                <w:b/>
                <w:color w:val="002FA7"/>
                <w:sz w:val="22"/>
              </w:rPr>
              <w:t>Mixed</w:t>
            </w:r>
          </w:p>
        </w:tc>
        <w:tc>
          <w:tcPr>
            <w:tcW w:type="dxa" w:w="1234"/>
          </w:tcPr>
          <w:p>
            <w:r>
              <w:rPr>
                <w:rFonts w:ascii="Calibri" w:hAnsi="Calibri"/>
                <w:b/>
                <w:color w:val="30A46C"/>
                <w:sz w:val="22"/>
              </w:rPr>
              <w:t>Strongly Positive</w:t>
            </w:r>
          </w:p>
        </w:tc>
        <w:tc>
          <w:tcPr>
            <w:tcW w:type="dxa" w:w="1234"/>
          </w:tcPr>
          <w:p>
            <w:r>
              <w:rPr>
                <w:rFonts w:ascii="Calibri" w:hAnsi="Calibri"/>
                <w:b/>
                <w:color w:val="30A46C"/>
                <w:sz w:val="22"/>
              </w:rPr>
              <w:t>Strongly Positive</w:t>
            </w:r>
          </w:p>
        </w:tc>
      </w:tr>
    </w:tbl>
    <w:p>
      <w:r>
        <w:rPr>
          <w:rFonts w:ascii="Calibri" w:hAnsi="Calibri"/>
          <w:i/>
          <w:color w:val="525866"/>
          <w:sz w:val="22"/>
        </w:rPr>
        <w:t>Sources: GE Aerospace Q2 CY2026 Earnings Call Transcript (July 16, 2026); RTX Corporation Q2 CY2026 Earnings Call Transcript (July 23, 2026); Boeing Q2 CY2026 Earnings Call Transcript (July 28, 2026); Woodward Q3 FY2026 Earnings Call Transcript (July 29, 2026). All commentary pertains to the April–June 2026 quarter only.</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