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TPL (Texas Pacific Land Corporation) before writing the preview. Let me gather recent earnings, filings, and news.Let me read the most recent earnings release and call transcript, plus check stock price and recent macro/sector news.Let me get TPL's stock price trend and recent energy macro context to understand the oil price backdrop mentioned on the last call.Let me pull the year-ago (Q2 2025) numbers for comparison and check current analyst expectations.# TPL (Texas Pacific Land Corp.) — Q2 2026 Earnings Preview</w:t>
      </w:r>
    </w:p>
    <w:bookmarkStart w:id="9" w:name="X39756eff3785070af310f7838dcd24b71f01d24"/>
    <w:p>
      <w:pPr>
        <w:pStyle w:val="Heading3"/>
      </w:pPr>
      <w:r>
        <w:t xml:space="preserve">Reports before the open, Wednesday, August 5, 2026 | Conference call to follow</w:t>
      </w:r>
    </w:p>
    <w:p>
      <w:r>
        <w:pict>
          <v:rect style="width:0;height:1.5pt" o:hralign="center" o:hrstd="t" o:hr="t"/>
        </w:pict>
      </w:r>
    </w:p>
    <w:bookmarkEnd w:id="9"/>
    <w:bookmarkStart w:id="10" w:name="X2e1118803e449790e06cd1de85acb801cb0711f"/>
    <w:p>
      <w:pPr>
        <w:pStyle w:val="Heading2"/>
      </w:pPr>
      <w:r>
        <w:t xml:space="preserve">The one thing that matters this quarter: an oil price windfall, fully unhedged</w:t>
      </w:r>
    </w:p>
    <w:p>
      <w:pPr>
        <w:pStyle w:val="FirstParagraph"/>
      </w:pPr>
      <w:r>
        <w:t xml:space="preserve">This is shaping up to be the most important print for TPL in years, and the reason is entirely macro. A U.S.–Iran conflict that began earlier in 2026 has caused the effective closure of the Strait of Hormuz — the corridor that normally carries roughly a fifth of the world's oil and LNG — for several months. The disruption has driven crude sharply higher, and the read-through from peers reporting for the same April–June quarter is unambiguous:</w:t>
      </w:r>
    </w:p>
    <w:p>
      <w:pPr>
        <w:pStyle w:val="Compact"/>
        <w:numPr>
          <w:ilvl w:val="0"/>
          <w:numId w:val="1001"/>
        </w:numPr>
      </w:pPr>
      <w:r>
        <w:rPr>
          <w:b/>
          <w:bCs/>
        </w:rPr>
        <w:t xml:space="preserve">Exxon and Chevron</w:t>
      </w:r>
      <w:r>
        <w:t xml:space="preserve"> </w:t>
      </w:r>
      <w:r>
        <w:t xml:space="preserve">posted their highest quarterly profits in years, comparable to the post-Ukraine-invasion windfall.</w:t>
      </w:r>
    </w:p>
    <w:p>
      <w:pPr>
        <w:pStyle w:val="Compact"/>
        <w:numPr>
          <w:ilvl w:val="0"/>
          <w:numId w:val="1001"/>
        </w:numPr>
      </w:pPr>
      <w:r>
        <w:rPr>
          <w:b/>
          <w:bCs/>
        </w:rPr>
        <w:t xml:space="preserve">Marathon Petroleum</w:t>
      </w:r>
      <w:r>
        <w:t xml:space="preserve"> </w:t>
      </w:r>
      <w:r>
        <w:t xml:space="preserve">crushed estimates as refining margins more than doubled year-over-year on the Hormuz-driven supply squeeze.</w:t>
      </w:r>
    </w:p>
    <w:p>
      <w:pPr>
        <w:pStyle w:val="Compact"/>
        <w:numPr>
          <w:ilvl w:val="0"/>
          <w:numId w:val="1001"/>
        </w:numPr>
      </w:pPr>
      <w:r>
        <w:rPr>
          <w:b/>
          <w:bCs/>
        </w:rPr>
        <w:t xml:space="preserve">Diamondback</w:t>
      </w:r>
      <w:r>
        <w:t xml:space="preserve"> </w:t>
      </w:r>
      <w:r>
        <w:t xml:space="preserve">— a key operator on TPL acreage — lifted production guidance and said record inventory draws have "structurally raised the floor" for oil prices.</w:t>
      </w:r>
    </w:p>
    <w:p>
      <w:pPr>
        <w:pStyle w:val="Compact"/>
        <w:numPr>
          <w:ilvl w:val="0"/>
          <w:numId w:val="1001"/>
        </w:numPr>
      </w:pPr>
      <w:r>
        <w:t xml:space="preserve">Gasoline is averaging over $4/gallon, prompting President Trump to publicly attack oil executives over profits.</w:t>
      </w:r>
    </w:p>
    <w:p>
      <w:pPr>
        <w:pStyle w:val="FirstParagraph"/>
      </w:pPr>
      <w:r>
        <w:rPr>
          <w:b/>
          <w:bCs/>
        </w:rPr>
        <w:t xml:space="preserve">Why this is amplified for TPL:</w:t>
      </w:r>
      <w:r>
        <w:t xml:space="preserve"> </w:t>
      </w:r>
      <w:r>
        <w:t xml:space="preserve">management has repeatedly emphasized that the company is</w:t>
      </w:r>
      <w:r>
        <w:t xml:space="preserve"> </w:t>
      </w:r>
      <w:r>
        <w:rPr>
          <w:b/>
          <w:bCs/>
        </w:rPr>
        <w:t xml:space="preserve">fully unhedged</w:t>
      </w:r>
      <w:r>
        <w:t xml:space="preserve">, treating its net-cash balance sheet — not derivatives — as its hedge against low prices. That means TPL captures 100% of the upside on the spike. On the Q1 call, CFO Chris Steddum framed the sensitivity plainly: on ~5 million barrels of annual oil production,</w:t>
      </w:r>
      <w:r>
        <w:t xml:space="preserve"> </w:t>
      </w:r>
      <w:r>
        <w:rPr>
          <w:b/>
          <w:bCs/>
        </w:rPr>
        <w:t xml:space="preserve">every</w:t>
      </w:r>
      <w:r>
        <w:rPr>
          <w:b/>
          <w:bCs/>
        </w:rPr>
        <w:t xml:space="preserve"> </w:t>
      </w:r>
      <m:oMath>
        <m:r>
          <m:t>10</m:t>
        </m:r>
        <m:r>
          <m:rPr>
            <m:sty m:val="p"/>
          </m:rPr>
          <m:t>/</m:t>
        </m:r>
        <m:r>
          <m:t>b</m:t>
        </m:r>
        <m:r>
          <m:t>b</m:t>
        </m:r>
        <m:r>
          <m:t>l</m:t>
        </m:r>
        <m:r>
          <m:t>m</m:t>
        </m:r>
        <m:r>
          <m:t>o</m:t>
        </m:r>
        <m:r>
          <m:t>v</m:t>
        </m:r>
        <m:r>
          <m:t>e</m:t>
        </m:r>
        <m:r>
          <m:t>i</m:t>
        </m:r>
        <m:r>
          <m:t>n</m:t>
        </m:r>
        <m:r>
          <m:t>o</m:t>
        </m:r>
        <m:r>
          <m:t>i</m:t>
        </m:r>
        <m:r>
          <m:t>l</m:t>
        </m:r>
        <m:r>
          <m:t>r</m:t>
        </m:r>
        <m:r>
          <m:t>e</m:t>
        </m:r>
        <m:r>
          <m:t>a</m:t>
        </m:r>
        <m:r>
          <m:t>l</m:t>
        </m:r>
        <m:r>
          <m:t>i</m:t>
        </m:r>
        <m:r>
          <m:t>z</m:t>
        </m:r>
        <m:r>
          <m:t>a</m:t>
        </m:r>
        <m:r>
          <m:t>t</m:t>
        </m:r>
        <m:r>
          <m:t>i</m:t>
        </m:r>
        <m:r>
          <m:t>o</m:t>
        </m:r>
        <m:r>
          <m:t>n</m:t>
        </m:r>
        <m:r>
          <m:t>s</m:t>
        </m:r>
        <m:r>
          <m:t>i</m:t>
        </m:r>
        <m:r>
          <m:t>s</m:t>
        </m:r>
        <m:r>
          <m:t>w</m:t>
        </m:r>
        <m:r>
          <m:t>o</m:t>
        </m:r>
        <m:r>
          <m:t>r</m:t>
        </m:r>
        <m:r>
          <m:t>t</m:t>
        </m:r>
        <m:r>
          <m:t>h</m:t>
        </m:r>
        <m:r>
          <m:t> </m:t>
        </m:r>
      </m:oMath>
      <w:r>
        <w:rPr>
          <w:b/>
          <w:bCs/>
        </w:rPr>
        <w:t xml:space="preserve">50 million of annual revenue</w:t>
      </w:r>
      <w:r>
        <w:t xml:space="preserve"> </w:t>
      </w:r>
      <w:r>
        <w:t xml:space="preserve">(~</w:t>
      </w:r>
      <m:oMath>
        <m:r>
          <m:t>12.5</m:t>
        </m:r>
        <m:r>
          <m:t>M</m:t>
        </m:r>
        <m:r>
          <m:rPr>
            <m:sty m:val="p"/>
          </m:rPr>
          <m:t>/</m:t>
        </m:r>
        <m:r>
          <m:t>q</m:t>
        </m:r>
        <m:r>
          <m:t>u</m:t>
        </m:r>
        <m:r>
          <m:t>a</m:t>
        </m:r>
        <m:r>
          <m:t>r</m:t>
        </m:r>
        <m:r>
          <m:t>t</m:t>
        </m:r>
        <m:r>
          <m:t>e</m:t>
        </m:r>
        <m:r>
          <m:t>r</m:t>
        </m:r>
        <m:r>
          <m:rPr>
            <m:sty m:val="p"/>
          </m:rPr>
          <m:t>)</m:t>
        </m:r>
        <m:r>
          <m:rPr>
            <m:sty m:val="p"/>
          </m:rPr>
          <m:t>,</m:t>
        </m:r>
        <m:r>
          <m:t>p</m:t>
        </m:r>
        <m:r>
          <m:t>l</m:t>
        </m:r>
        <m:r>
          <m:t>u</m:t>
        </m:r>
        <m:r>
          <m:t>s</m:t>
        </m:r>
        <m:r>
          <m:t> </m:t>
        </m:r>
      </m:oMath>
      <w:r>
        <w:t xml:space="preserve">17M/year for every $5/bbl on NGLs.</w:t>
      </w:r>
    </w:p>
    <w:p>
      <w:pPr>
        <w:pStyle w:val="BodyText"/>
      </w:pPr>
      <w:r>
        <w:t xml:space="preserve">For reference, TPL's oil realization was</w:t>
      </w:r>
      <w:r>
        <w:t xml:space="preserve"> </w:t>
      </w:r>
      <w:r>
        <w:rPr>
          <w:b/>
          <w:bCs/>
        </w:rPr>
        <w:t xml:space="preserve">$70.57/bbl in Q1 2026</w:t>
      </w:r>
      <w:r>
        <w:t xml:space="preserve"> </w:t>
      </w:r>
      <w:r>
        <w:t xml:space="preserve">(up from $59.48 in Q4). If Q2 realizations jumped $15–25+/bbl in line with what peers reported, oil royalty revenue alone could add meaningful upside on top of Q1's already-record results — setting up a likely</w:t>
      </w:r>
      <w:r>
        <w:t xml:space="preserve"> </w:t>
      </w:r>
      <w:r>
        <w:rPr>
          <w:b/>
          <w:bCs/>
        </w:rPr>
        <w:t xml:space="preserve">new all-time-high quarter for revenue, net income, EBITDA and free cash flow</w:t>
      </w:r>
      <w:r>
        <w:t xml:space="preserve">.</w:t>
      </w:r>
    </w:p>
    <w:p>
      <w:r>
        <w:pict>
          <v:rect style="width:0;height:1.5pt" o:hralign="center" o:hrstd="t" o:hr="t"/>
        </w:pict>
      </w:r>
    </w:p>
    <w:bookmarkEnd w:id="10"/>
    <w:bookmarkStart w:id="11" w:name="X50911d1eb8da09d909299119e71ecd851ecf91a"/>
    <w:p>
      <w:pPr>
        <w:pStyle w:val="Heading2"/>
      </w:pPr>
      <w:r>
        <w:t xml:space="preserve">The setup: where the numbers stood entering Q2</w:t>
      </w:r>
    </w:p>
    <w:p>
      <w:pPr>
        <w:pStyle w:val="FirstParagraph"/>
      </w:pPr>
      <w:r>
        <w:t xml:space="preserve">TPL posted</w:t>
      </w:r>
      <w:r>
        <w:t xml:space="preserve"> </w:t>
      </w:r>
      <w:r>
        <w:rPr>
          <w:b/>
          <w:bCs/>
        </w:rPr>
        <w:t xml:space="preserve">record results in Q1 2026</w:t>
      </w:r>
      <w:r>
        <w:t xml:space="preserve"> </w:t>
      </w:r>
      <w:r>
        <w:t xml:space="preserve">— the baseline Q2 must beat: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 (as reported)</w:t>
            </w:r>
          </w:p>
        </w:tc>
        <w:tc>
          <w:tcPr/>
          <w:p>
            <w:pPr>
              <w:pStyle w:val="Compact"/>
            </w:pPr>
            <w:r>
              <w:t xml:space="preserve">Q2 2025</w:t>
            </w:r>
          </w:p>
        </w:tc>
        <w:tc>
          <w:tcPr/>
          <w:p>
            <w:pPr>
              <w:pStyle w:val="Compact"/>
            </w:pPr>
            <w:r>
              <w:t xml:space="preserve">Q4 2025</w:t>
            </w:r>
          </w:p>
        </w:tc>
        <w:tc>
          <w:tcPr/>
          <w:p>
            <w:pPr>
              <w:pStyle w:val="Compact"/>
            </w:pPr>
            <w:r>
              <w:t xml:space="preserve">Q1 2026 (record)</w:t>
            </w:r>
          </w:p>
        </w:tc>
      </w:tr>
      <w:tr>
        <w:tc>
          <w:tcPr/>
          <w:p>
            <w:pPr>
              <w:pStyle w:val="Compact"/>
            </w:pPr>
            <w:r>
              <w:t xml:space="preserve">Total revenue</w:t>
            </w:r>
          </w:p>
        </w:tc>
        <w:tc>
          <w:tcPr/>
          <w:p>
            <w:pPr>
              <w:pStyle w:val="Compact"/>
            </w:pPr>
            <w:r>
              <w:t xml:space="preserve">$187.5M</w:t>
            </w:r>
          </w:p>
        </w:tc>
        <w:tc>
          <w:tcPr/>
          <w:p>
            <w:pPr>
              <w:pStyle w:val="Compact"/>
            </w:pPr>
            <w:r>
              <w:t xml:space="preserve">$211.6M</w:t>
            </w:r>
          </w:p>
        </w:tc>
        <w:tc>
          <w:tcPr/>
          <w:p>
            <w:pPr>
              <w:pStyle w:val="Compact"/>
            </w:pPr>
            <w:r>
              <w:rPr>
                <w:b/>
                <w:bCs/>
              </w:rPr>
              <w:t xml:space="preserve">$236.8M</w:t>
            </w:r>
          </w:p>
        </w:tc>
      </w:tr>
      <w:tr>
        <w:tc>
          <w:tcPr/>
          <w:p>
            <w:pPr>
              <w:pStyle w:val="Compact"/>
            </w:pPr>
            <w:r>
              <w:t xml:space="preserve">Net income</w:t>
            </w:r>
          </w:p>
        </w:tc>
        <w:tc>
          <w:tcPr/>
          <w:p>
            <w:pPr>
              <w:pStyle w:val="Compact"/>
            </w:pPr>
            <w:r>
              <w:t xml:space="preserve">$116.1M</w:t>
            </w:r>
          </w:p>
        </w:tc>
        <w:tc>
          <w:tcPr/>
          <w:p>
            <w:pPr>
              <w:pStyle w:val="Compact"/>
            </w:pPr>
            <w:r>
              <w:t xml:space="preserve">$123.3M</w:t>
            </w:r>
          </w:p>
        </w:tc>
        <w:tc>
          <w:tcPr/>
          <w:p>
            <w:pPr>
              <w:pStyle w:val="Compact"/>
            </w:pPr>
            <w:r>
              <w:rPr>
                <w:b/>
                <w:bCs/>
              </w:rPr>
              <w:t xml:space="preserve">$142.9M</w:t>
            </w:r>
          </w:p>
        </w:tc>
      </w:tr>
      <w:tr>
        <w:tc>
          <w:tcPr/>
          <w:p>
            <w:pPr>
              <w:pStyle w:val="Compact"/>
            </w:pPr>
            <w:r>
              <w:t xml:space="preserve">Diluted EPS*</w:t>
            </w:r>
          </w:p>
        </w:tc>
        <w:tc>
          <w:tcPr/>
          <w:p>
            <w:pPr>
              <w:pStyle w:val="Compact"/>
            </w:pPr>
            <w:r>
              <w:t xml:space="preserve">$5.05</w:t>
            </w:r>
          </w:p>
        </w:tc>
        <w:tc>
          <w:tcPr/>
          <w:p>
            <w:pPr>
              <w:pStyle w:val="Compact"/>
            </w:pPr>
            <w:r>
              <w:t xml:space="preserve">$1.79</w:t>
            </w:r>
          </w:p>
        </w:tc>
        <w:tc>
          <w:tcPr/>
          <w:p>
            <w:pPr>
              <w:pStyle w:val="Compact"/>
            </w:pPr>
            <w:r>
              <w:t xml:space="preserve">$2.07</w:t>
            </w:r>
          </w:p>
        </w:tc>
      </w:tr>
      <w:tr>
        <w:tc>
          <w:tcPr/>
          <w:p>
            <w:pPr>
              <w:pStyle w:val="Compact"/>
            </w:pPr>
            <w:r>
              <w:t xml:space="preserve">Adjusted EBITDA</w:t>
            </w:r>
          </w:p>
        </w:tc>
        <w:tc>
          <w:tcPr/>
          <w:p>
            <w:pPr>
              <w:pStyle w:val="Compact"/>
            </w:pPr>
            <w:r>
              <w:t xml:space="preserve">$166.2M</w:t>
            </w:r>
          </w:p>
        </w:tc>
        <w:tc>
          <w:tcPr/>
          <w:p>
            <w:pPr>
              <w:pStyle w:val="Compact"/>
            </w:pPr>
            <w:r>
              <w:t xml:space="preserve">$178.1M</w:t>
            </w:r>
          </w:p>
        </w:tc>
        <w:tc>
          <w:tcPr/>
          <w:p>
            <w:pPr>
              <w:pStyle w:val="Compact"/>
            </w:pPr>
            <w:r>
              <w:t xml:space="preserve">$181.4M</w:t>
            </w:r>
          </w:p>
        </w:tc>
      </w:tr>
      <w:tr>
        <w:tc>
          <w:tcPr/>
          <w:p>
            <w:pPr>
              <w:pStyle w:val="Compact"/>
            </w:pPr>
            <w:r>
              <w:t xml:space="preserve">Free cash flow</w:t>
            </w:r>
          </w:p>
        </w:tc>
        <w:tc>
          <w:tcPr/>
          <w:p>
            <w:pPr>
              <w:pStyle w:val="Compact"/>
            </w:pPr>
            <w:r>
              <w:t xml:space="preserve">$130.1M</w:t>
            </w:r>
          </w:p>
        </w:tc>
        <w:tc>
          <w:tcPr/>
          <w:p>
            <w:pPr>
              <w:pStyle w:val="Compact"/>
            </w:pPr>
            <w:r>
              <w:t xml:space="preserve">$118.9M</w:t>
            </w:r>
          </w:p>
        </w:tc>
        <w:tc>
          <w:tcPr/>
          <w:p>
            <w:pPr>
              <w:pStyle w:val="Compact"/>
            </w:pPr>
            <w:r>
              <w:t xml:space="preserve">$136.4M</w:t>
            </w:r>
          </w:p>
        </w:tc>
      </w:tr>
      <w:tr>
        <w:tc>
          <w:tcPr/>
          <w:p>
            <w:pPr>
              <w:pStyle w:val="Compact"/>
            </w:pPr>
            <w:r>
              <w:t xml:space="preserve">Royalty production (MBoe/d)</w:t>
            </w:r>
          </w:p>
        </w:tc>
        <w:tc>
          <w:tcPr/>
          <w:p>
            <w:pPr>
              <w:pStyle w:val="Compact"/>
            </w:pPr>
            <w:r>
              <w:t xml:space="preserve">33.2</w:t>
            </w:r>
          </w:p>
        </w:tc>
        <w:tc>
          <w:tcPr/>
          <w:p>
            <w:pPr>
              <w:pStyle w:val="Compact"/>
            </w:pPr>
            <w:r>
              <w:t xml:space="preserve">37.5</w:t>
            </w:r>
          </w:p>
        </w:tc>
        <w:tc>
          <w:tcPr/>
          <w:p>
            <w:pPr>
              <w:pStyle w:val="Compact"/>
            </w:pPr>
            <w:r>
              <w:t xml:space="preserve">37.1</w:t>
            </w:r>
          </w:p>
        </w:tc>
      </w:tr>
      <w:tr>
        <w:tc>
          <w:tcPr/>
          <w:p>
            <w:pPr>
              <w:pStyle w:val="Compact"/>
            </w:pPr>
            <w:r>
              <w:t xml:space="preserve">Oil realization ($/bbl)</w:t>
            </w:r>
          </w:p>
        </w:tc>
        <w:tc>
          <w:tcPr/>
          <w:p>
            <w:pPr>
              <w:pStyle w:val="Compact"/>
            </w:pPr>
            <w:r>
              <w:t xml:space="preserve">$63.99</w:t>
            </w:r>
          </w:p>
        </w:tc>
        <w:tc>
          <w:tcPr/>
          <w:p>
            <w:pPr>
              <w:pStyle w:val="Compact"/>
            </w:pPr>
            <w:r>
              <w:t xml:space="preserve">$59.48</w:t>
            </w:r>
          </w:p>
        </w:tc>
        <w:tc>
          <w:tcPr/>
          <w:p>
            <w:pPr>
              <w:pStyle w:val="Compact"/>
            </w:pPr>
            <w:r>
              <w:t xml:space="preserve">$70.57</w:t>
            </w:r>
          </w:p>
        </w:tc>
      </w:tr>
      <w:tr>
        <w:tc>
          <w:tcPr/>
          <w:p>
            <w:pPr>
              <w:pStyle w:val="Compact"/>
            </w:pPr>
            <w:r>
              <w:t xml:space="preserve">Avg realization ($/Boe)</w:t>
            </w:r>
          </w:p>
        </w:tc>
        <w:tc>
          <w:tcPr/>
          <w:p>
            <w:pPr>
              <w:pStyle w:val="Compact"/>
            </w:pPr>
            <w:r>
              <w:t xml:space="preserve">$32.94</w:t>
            </w:r>
          </w:p>
        </w:tc>
        <w:tc>
          <w:tcPr/>
          <w:p>
            <w:pPr>
              <w:pStyle w:val="Compact"/>
            </w:pPr>
            <w:r>
              <w:t xml:space="preserve">$29.33</w:t>
            </w:r>
          </w:p>
        </w:tc>
        <w:tc>
          <w:tcPr/>
          <w:p>
            <w:pPr>
              <w:pStyle w:val="Compact"/>
            </w:pPr>
            <w:r>
              <w:t xml:space="preserve">$37.06</w:t>
            </w:r>
          </w:p>
        </w:tc>
      </w:tr>
    </w:tbl>
    <w:p>
      <w:pPr>
        <w:pStyle w:val="BodyText"/>
      </w:pPr>
      <w:r>
        <w:t xml:space="preserve">*</w:t>
      </w:r>
      <w:r>
        <w:t xml:space="preserve"> </w:t>
      </w:r>
      <w:r>
        <w:rPr>
          <w:b/>
          <w:bCs/>
        </w:rPr>
        <w:t xml:space="preserve">Note on comparability:</w:t>
      </w:r>
      <w:r>
        <w:t xml:space="preserve"> </w:t>
      </w:r>
      <w:r>
        <w:t xml:space="preserve">TPL executed a</w:t>
      </w:r>
      <w:r>
        <w:t xml:space="preserve"> </w:t>
      </w:r>
      <w:r>
        <w:rPr>
          <w:b/>
          <w:bCs/>
        </w:rPr>
        <w:t xml:space="preserve">3-for-1 stock split</w:t>
      </w:r>
      <w:r>
        <w:t xml:space="preserve"> </w:t>
      </w:r>
      <w:r>
        <w:t xml:space="preserve">over the past year (share count went from ~23M to ~69M). Q2 2025's as-reported</w:t>
      </w:r>
      <w:r>
        <w:t xml:space="preserve"> </w:t>
      </w:r>
      <m:oMath>
        <m:r>
          <m:t>5.05</m:t>
        </m:r>
        <m:r>
          <m:t>E</m:t>
        </m:r>
        <m:r>
          <m:t>P</m:t>
        </m:r>
        <m:r>
          <m:t>S</m:t>
        </m:r>
        <m:r>
          <m:t>i</m:t>
        </m:r>
        <m:r>
          <m:t>s</m:t>
        </m:r>
        <m:r>
          <m:t> </m:t>
        </m:r>
        <m:r>
          <m:rPr>
            <m:sty m:val="p"/>
          </m:rPr>
          <m:t>*</m:t>
        </m:r>
        <m:r>
          <m:rPr>
            <m:sty m:val="p"/>
          </m:rPr>
          <m:t>*</m:t>
        </m:r>
      </m:oMath>
      <w:r>
        <w:t xml:space="preserve">1.68 split-adjusted**. Production was also up ~19% YoY in Q1, so year-over-year comparisons should look very strong on both price and volume.</w:t>
      </w:r>
    </w:p>
    <w:p>
      <w:pPr>
        <w:pStyle w:val="BodyText"/>
      </w:pPr>
      <w:r>
        <w:rPr>
          <w:b/>
          <w:bCs/>
        </w:rPr>
        <w:t xml:space="preserve">What I'd watch on the scorecard:</w:t>
      </w:r>
    </w:p>
    <w:p>
      <w:pPr>
        <w:pStyle w:val="Compact"/>
        <w:numPr>
          <w:ilvl w:val="0"/>
          <w:numId w:val="1002"/>
        </w:numPr>
      </w:pPr>
      <w:r>
        <w:rPr>
          <w:b/>
          <w:bCs/>
        </w:rPr>
        <w:t xml:space="preserve">Oil realizations</w:t>
      </w:r>
      <w:r>
        <w:t xml:space="preserve"> </w:t>
      </w:r>
      <w:r>
        <w:t xml:space="preserve">— the single biggest swing factor. This is where the beat/miss lives.</w:t>
      </w:r>
    </w:p>
    <w:p>
      <w:pPr>
        <w:pStyle w:val="Compact"/>
        <w:numPr>
          <w:ilvl w:val="0"/>
          <w:numId w:val="1002"/>
        </w:numPr>
      </w:pPr>
      <w:r>
        <w:rPr>
          <w:b/>
          <w:bCs/>
        </w:rPr>
        <w:t xml:space="preserve">Production volumes</w:t>
      </w:r>
      <w:r>
        <w:t xml:space="preserve"> </w:t>
      </w:r>
      <w:r>
        <w:t xml:space="preserve">— Q1 was ~37 MBoe/d (roughly flat sequentially). Management noted only a "marginal uptick" in operator activity despite high prices, citing uncertainty over how long the supply shock lasts. Line-of-sight inventory rose to</w:t>
      </w:r>
      <w:r>
        <w:t xml:space="preserve"> </w:t>
      </w:r>
      <w:r>
        <w:rPr>
          <w:b/>
          <w:bCs/>
        </w:rPr>
        <w:t xml:space="preserve">20.7 net wells (+6% sequentially, +11% normalized for longer laterals)</w:t>
      </w:r>
      <w:r>
        <w:t xml:space="preserve">, with completion strength driven by Occidental, BP, Devon and Exxon. Watch whether rig/frac activity is starting to accelerate.</w:t>
      </w:r>
    </w:p>
    <w:p>
      <w:pPr>
        <w:pStyle w:val="Compact"/>
        <w:numPr>
          <w:ilvl w:val="0"/>
          <w:numId w:val="1002"/>
        </w:numPr>
      </w:pPr>
      <w:r>
        <w:rPr>
          <w:b/>
          <w:bCs/>
        </w:rPr>
        <w:t xml:space="preserve">Water segment</w:t>
      </w:r>
      <w:r>
        <w:t xml:space="preserve"> </w:t>
      </w:r>
      <w:r>
        <w:t xml:space="preserve">— produced water royalties have been a durable growth story (near-record volumes in Q1), but water sales are lumpy and stepped down in Q1. Management says to read water on a ~3-quarter trend, not any single quarter.</w:t>
      </w:r>
    </w:p>
    <w:p>
      <w:pPr>
        <w:pStyle w:val="Compact"/>
        <w:numPr>
          <w:ilvl w:val="0"/>
          <w:numId w:val="1002"/>
        </w:numPr>
      </w:pPr>
      <w:r>
        <w:rPr>
          <w:b/>
          <w:bCs/>
        </w:rPr>
        <w:t xml:space="preserve">SLEM (easements/surface)</w:t>
      </w:r>
      <w:r>
        <w:t xml:space="preserve"> </w:t>
      </w:r>
      <w:r>
        <w:t xml:space="preserve">— also lumpy; don't over-extrapolate any one quarter.</w:t>
      </w:r>
    </w:p>
    <w:p>
      <w:pPr>
        <w:pStyle w:val="Compact"/>
        <w:numPr>
          <w:ilvl w:val="0"/>
          <w:numId w:val="1002"/>
        </w:numPr>
      </w:pPr>
      <w:r>
        <w:rPr>
          <w:b/>
          <w:bCs/>
        </w:rPr>
        <w:t xml:space="preserve">Land sales</w:t>
      </w:r>
      <w:r>
        <w:t xml:space="preserve"> </w:t>
      </w:r>
      <w:r>
        <w:t xml:space="preserve">— Q1 included a</w:t>
      </w:r>
      <w:r>
        <w:t xml:space="preserve"> </w:t>
      </w:r>
      <w:r>
        <w:rPr>
          <w:b/>
          <w:bCs/>
        </w:rPr>
        <w:t xml:space="preserve">$20.9M</w:t>
      </w:r>
      <w:r>
        <w:t xml:space="preserve"> </w:t>
      </w:r>
      <w:r>
        <w:t xml:space="preserve">recognition tied to a data-center/power land deal (note: this is</w:t>
      </w:r>
      <w:r>
        <w:t xml:space="preserve"> </w:t>
      </w:r>
      <w:r>
        <w:rPr>
          <w:i/>
          <w:iCs/>
        </w:rPr>
        <w:t xml:space="preserve">excluded</w:t>
      </w:r>
      <w:r>
        <w:t xml:space="preserve"> </w:t>
      </w:r>
      <w:r>
        <w:t xml:space="preserve">from adjusted EBITDA due to the 20-year financing structure). Watch for additional deal recognition.</w:t>
      </w:r>
    </w:p>
    <w:p>
      <w:r>
        <w:pict>
          <v:rect style="width:0;height:1.5pt" o:hralign="center" o:hrstd="t" o:hr="t"/>
        </w:pict>
      </w:r>
    </w:p>
    <w:bookmarkEnd w:id="11"/>
    <w:bookmarkStart w:id="12" w:name="X3b8bc78c6393737a3db12ea67922dd52e1841a6"/>
    <w:p>
      <w:pPr>
        <w:pStyle w:val="Heading2"/>
      </w:pPr>
      <w:r>
        <w:t xml:space="preserve">The narrative drivers beyond oil: data centers, power &amp; water desal</w:t>
      </w:r>
    </w:p>
    <w:p>
      <w:pPr>
        <w:pStyle w:val="FirstParagraph"/>
      </w:pPr>
      <w:r>
        <w:t xml:space="preserve">This is what the stock's premium multiple is really about, and where the call commentary matters most:</w:t>
      </w:r>
    </w:p>
    <w:p>
      <w:pPr>
        <w:pStyle w:val="Compact"/>
        <w:numPr>
          <w:ilvl w:val="0"/>
          <w:numId w:val="1003"/>
        </w:numPr>
      </w:pPr>
      <w:r>
        <w:rPr>
          <w:b/>
          <w:bCs/>
        </w:rPr>
        <w:t xml:space="preserve">Power generation / data centers:</w:t>
      </w:r>
      <w:r>
        <w:t xml:space="preserve"> </w:t>
      </w:r>
      <w:r>
        <w:t xml:space="preserve">In Q1, TPL signed its first agreement — a ~$43M land sale (paid over 20 years) plus a water-supply agreement — tied to a gas-fired power project supporting data center operations (explicitly</w:t>
      </w:r>
      <w:r>
        <w:t xml:space="preserve"> </w:t>
      </w:r>
      <w:r>
        <w:rPr>
          <w:i/>
          <w:iCs/>
        </w:rPr>
        <w:t xml:space="preserve">not</w:t>
      </w:r>
      <w:r>
        <w:t xml:space="preserve"> </w:t>
      </w:r>
      <w:r>
        <w:t xml:space="preserve">the "Bolt" project; TPL has multiple workstreams). CEO Ty Glover said urgency among hyperscalers and AI labs to lock up power/compute in West Texas has risen sharply, that most grid power is already taken (pushing developers toward behind-the-meter gas gen, which is favorable for TPL's acreage and water demand), and that "multiple multi-gig energy campuses" on TPL land are viable.</w:t>
      </w:r>
      <w:r>
        <w:t xml:space="preserve"> </w:t>
      </w:r>
      <w:r>
        <w:rPr>
          <w:b/>
          <w:bCs/>
        </w:rPr>
        <w:t xml:space="preserve">Any second signed deal or concrete gigawatt/water framework would be a major catalyst.</w:t>
      </w:r>
    </w:p>
    <w:p>
      <w:pPr>
        <w:pStyle w:val="Compact"/>
        <w:numPr>
          <w:ilvl w:val="0"/>
          <w:numId w:val="1003"/>
        </w:numPr>
      </w:pPr>
      <w:r>
        <w:rPr>
          <w:b/>
          <w:bCs/>
        </w:rPr>
        <w:t xml:space="preserve">Produced-water desalination:</w:t>
      </w:r>
      <w:r>
        <w:t xml:space="preserve"> </w:t>
      </w:r>
      <w:r>
        <w:t xml:space="preserve">The 10,000 bbl/day "R&amp;D at scale" facility in Orla was slated to take first inlet water "in the coming weeks" as of early May. Investors will want confirmation it's running, plus early economic reads and any progress on co-location (waste-heat capture, cooling) with power/data projects.</w:t>
      </w:r>
    </w:p>
    <w:p>
      <w:r>
        <w:pict>
          <v:rect style="width:0;height:1.5pt" o:hralign="center" o:hrstd="t" o:hr="t"/>
        </w:pict>
      </w:r>
    </w:p>
    <w:bookmarkEnd w:id="12"/>
    <w:bookmarkStart w:id="13" w:name="capital-return--balance-sheet"/>
    <w:p>
      <w:pPr>
        <w:pStyle w:val="Heading2"/>
      </w:pPr>
      <w:r>
        <w:t xml:space="preserve">Capital return &amp; balance sheet</w:t>
      </w:r>
    </w:p>
    <w:p>
      <w:pPr>
        <w:pStyle w:val="Compact"/>
        <w:numPr>
          <w:ilvl w:val="0"/>
          <w:numId w:val="1004"/>
        </w:numPr>
      </w:pPr>
      <w:r>
        <w:t xml:space="preserve">Quarterly dividend was raised to **</w:t>
      </w:r>
      <m:oMath>
        <m:r>
          <m:t>0.60</m:t>
        </m:r>
        <m:r>
          <m:rPr>
            <m:sty m:val="p"/>
          </m:rPr>
          <m:t>/</m:t>
        </m:r>
        <m:r>
          <m:t>s</m:t>
        </m:r>
        <m:r>
          <m:t>h</m:t>
        </m:r>
        <m:r>
          <m:t>a</m:t>
        </m:r>
        <m:r>
          <m:t>r</m:t>
        </m:r>
        <m:r>
          <m:t>e</m:t>
        </m:r>
        <m:r>
          <m:rPr>
            <m:sty m:val="p"/>
          </m:rPr>
          <m:t>*</m:t>
        </m:r>
        <m:r>
          <m:rPr>
            <m:sty m:val="p"/>
          </m:rPr>
          <m:t>*</m:t>
        </m:r>
        <m:r>
          <m:rPr>
            <m:sty m:val="p"/>
          </m:rPr>
          <m:t>(</m:t>
        </m:r>
        <m:r>
          <m:t>s</m:t>
        </m:r>
        <m:r>
          <m:t>p</m:t>
        </m:r>
        <m:r>
          <m:t>l</m:t>
        </m:r>
        <m:r>
          <m:t>i</m:t>
        </m:r>
        <m:r>
          <m:t>t</m:t>
        </m:r>
        <m:r>
          <m:rPr>
            <m:sty m:val="p"/>
          </m:rPr>
          <m:t>−</m:t>
        </m:r>
        <m:r>
          <m:t>a</m:t>
        </m:r>
        <m:r>
          <m:t>d</m:t>
        </m:r>
        <m:r>
          <m:t>j</m:t>
        </m:r>
        <m:r>
          <m:t>u</m:t>
        </m:r>
        <m:r>
          <m:t>s</m:t>
        </m:r>
        <m:r>
          <m:t>t</m:t>
        </m:r>
        <m:r>
          <m:t>e</m:t>
        </m:r>
        <m:r>
          <m:t>d</m:t>
        </m:r>
        <m:r>
          <m:rPr>
            <m:sty m:val="p"/>
          </m:rPr>
          <m:t>,</m:t>
        </m:r>
        <m:r>
          <m:t>f</m:t>
        </m:r>
        <m:r>
          <m:t>r</m:t>
        </m:r>
        <m:r>
          <m:t>o</m:t>
        </m:r>
        <m:r>
          <m:t>m</m:t>
        </m:r>
        <m:r>
          <m:t> </m:t>
        </m:r>
      </m:oMath>
      <w:r>
        <w:t xml:space="preserve">0.53). Watch for another declaration and — given the cash windfall —</w:t>
      </w:r>
      <w:r>
        <w:t xml:space="preserve"> </w:t>
      </w:r>
      <w:r>
        <w:rPr>
          <w:b/>
          <w:bCs/>
        </w:rPr>
        <w:t xml:space="preserve">any signal on a special dividend or buyback</w:t>
      </w:r>
      <w:r>
        <w:t xml:space="preserve">, which TPL has historically used to return excess cash.</w:t>
      </w:r>
    </w:p>
    <w:p>
      <w:pPr>
        <w:pStyle w:val="Compact"/>
        <w:numPr>
          <w:ilvl w:val="0"/>
          <w:numId w:val="1004"/>
        </w:numPr>
      </w:pPr>
      <w:r>
        <w:t xml:space="preserve">TPL carries essentially no net debt; free cash flow conversion is very high (~$136M FCF in Q1). A windfall quarter meaningfully expands the "dry powder" for acquisitions, capital return, and funding the desal/power build-out.</w:t>
      </w:r>
    </w:p>
    <w:p>
      <w:r>
        <w:pict>
          <v:rect style="width:0;height:1.5pt" o:hralign="center" o:hrstd="t" o:hr="t"/>
        </w:pict>
      </w:r>
    </w:p>
    <w:bookmarkEnd w:id="13"/>
    <w:bookmarkStart w:id="14" w:name="governance--ownership"/>
    <w:p>
      <w:pPr>
        <w:pStyle w:val="Heading2"/>
      </w:pPr>
      <w:r>
        <w:t xml:space="preserve">Governance &amp; ownership</w:t>
      </w:r>
    </w:p>
    <w:p>
      <w:pPr>
        <w:pStyle w:val="Compact"/>
        <w:numPr>
          <w:ilvl w:val="0"/>
          <w:numId w:val="1005"/>
        </w:numPr>
      </w:pPr>
      <w:r>
        <w:rPr>
          <w:b/>
          <w:bCs/>
        </w:rPr>
        <w:t xml:space="preserve">Peter Doyle</w:t>
      </w:r>
      <w:r>
        <w:t xml:space="preserve">, co-founder and Co-CEO of</w:t>
      </w:r>
      <w:r>
        <w:t xml:space="preserve"> </w:t>
      </w:r>
      <w:r>
        <w:rPr>
          <w:b/>
          <w:bCs/>
        </w:rPr>
        <w:t xml:space="preserve">Horizon Kinetics</w:t>
      </w:r>
      <w:r>
        <w:t xml:space="preserve"> </w:t>
      </w:r>
      <w:r>
        <w:t xml:space="preserve">(TPL's largest shareholder), joined the board in May and sits on the strategic acquisitions committee.</w:t>
      </w:r>
    </w:p>
    <w:p>
      <w:pPr>
        <w:pStyle w:val="Compact"/>
        <w:numPr>
          <w:ilvl w:val="0"/>
          <w:numId w:val="1005"/>
        </w:numPr>
      </w:pPr>
      <w:r>
        <w:t xml:space="preserve">Horizon Kinetics continues</w:t>
      </w:r>
      <w:r>
        <w:t xml:space="preserve"> </w:t>
      </w:r>
      <w:r>
        <w:rPr>
          <w:b/>
          <w:bCs/>
        </w:rPr>
        <w:t xml:space="preserve">near-daily open-market and dividend-reinvestment buying</w:t>
      </w:r>
      <w:r>
        <w:t xml:space="preserve"> </w:t>
      </w:r>
      <w:r>
        <w:t xml:space="preserve">through late July/early August — a steady signal of conviction from the anchor holder.</w:t>
      </w:r>
    </w:p>
    <w:p>
      <w:pPr>
        <w:pStyle w:val="Compact"/>
        <w:numPr>
          <w:ilvl w:val="0"/>
          <w:numId w:val="1005"/>
        </w:numPr>
      </w:pPr>
      <w:r>
        <w:t xml:space="preserve">Longtime champion and Horizon founder</w:t>
      </w:r>
      <w:r>
        <w:t xml:space="preserve"> </w:t>
      </w:r>
      <w:r>
        <w:rPr>
          <w:b/>
          <w:bCs/>
        </w:rPr>
        <w:t xml:space="preserve">Murray Stahl passed away</w:t>
      </w:r>
      <w:r>
        <w:t xml:space="preserve">; management stressed continuity of the Horizon relationship. Governance stability is worth monitoring given how central Horizon is to the story.</w:t>
      </w:r>
    </w:p>
    <w:p>
      <w:r>
        <w:pict>
          <v:rect style="width:0;height:1.5pt" o:hralign="center" o:hrstd="t" o:hr="t"/>
        </w:pict>
      </w:r>
    </w:p>
    <w:bookmarkEnd w:id="14"/>
    <w:bookmarkStart w:id="15" w:name="stock--sentiment-setup"/>
    <w:p>
      <w:pPr>
        <w:pStyle w:val="Heading2"/>
      </w:pPr>
      <w:r>
        <w:t xml:space="preserve">Stock &amp; sentiment setup</w:t>
      </w:r>
    </w:p>
    <w:p>
      <w:pPr>
        <w:pStyle w:val="Compact"/>
        <w:numPr>
          <w:ilvl w:val="0"/>
          <w:numId w:val="1006"/>
        </w:numPr>
      </w:pPr>
      <w:r>
        <w:t xml:space="preserve">Shares are around **</w:t>
      </w:r>
      <m:oMath>
        <m:r>
          <m:t>395</m:t>
        </m:r>
        <m:r>
          <m:rPr>
            <m:sty m:val="p"/>
          </m:rPr>
          <m:t>*</m:t>
        </m:r>
        <m:r>
          <m:rPr>
            <m:sty m:val="p"/>
          </m:rPr>
          <m:t>*</m:t>
        </m:r>
        <m:r>
          <m:rPr>
            <m:sty m:val="p"/>
          </m:rPr>
          <m:t>(</m:t>
        </m:r>
        <m:r>
          <m:t>A</m:t>
        </m:r>
        <m:r>
          <m:t>u</m:t>
        </m:r>
        <m:r>
          <m:t>g</m:t>
        </m:r>
        <m:r>
          <m:t>4</m:t>
        </m:r>
        <m:r>
          <m:rPr>
            <m:sty m:val="p"/>
          </m:rPr>
          <m:t>)</m:t>
        </m:r>
        <m:r>
          <m:rPr>
            <m:sty m:val="p"/>
          </m:rPr>
          <m:t>,</m:t>
        </m:r>
        <m:r>
          <m:t>u</m:t>
        </m:r>
        <m:r>
          <m:t>p</m:t>
        </m:r>
        <m:r>
          <m:t> </m:t>
        </m:r>
        <m:r>
          <m:t>27</m:t>
        </m:r>
      </m:oMath>
      <w:r>
        <w:t xml:space="preserve">311, split-adjusted) but</w:t>
      </w:r>
      <w:r>
        <w:t xml:space="preserve"> </w:t>
      </w:r>
      <w:r>
        <w:rPr>
          <w:b/>
          <w:bCs/>
        </w:rPr>
        <w:t xml:space="preserve">well off the ~$540 peak set in early March 2026</w:t>
      </w:r>
      <w:r>
        <w:t xml:space="preserve"> </w:t>
      </w:r>
      <w:r>
        <w:t xml:space="preserve">at the height of the oil spike. The stock has round-tripped a lot of the war premium.</w:t>
      </w:r>
    </w:p>
    <w:p>
      <w:pPr>
        <w:pStyle w:val="Compact"/>
        <w:numPr>
          <w:ilvl w:val="0"/>
          <w:numId w:val="1006"/>
        </w:numPr>
      </w:pPr>
      <w:r>
        <w:rPr>
          <w:b/>
          <w:bCs/>
        </w:rPr>
        <w:t xml:space="preserve">The key risk into and after the print is that this may be "peak" earnings optics.</w:t>
      </w:r>
      <w:r>
        <w:t xml:space="preserve"> </w:t>
      </w:r>
      <w:r>
        <w:t xml:space="preserve">On August 4, Brent fell more than 5% on reports of progress toward reopening the Strait of Hormuz; Trump has paused new strikes pending talks. If the market concludes the supply shock is de-escalating, a blowout Q2 could be treated as a backward-looking high-water mark rather than a run-rate — muting or even inverting the reaction. Diamondback's own CEO cautioned that the timing of supply normalization is "impossible to predict."</w:t>
      </w:r>
    </w:p>
    <w:p>
      <w:pPr>
        <w:pStyle w:val="Compact"/>
        <w:numPr>
          <w:ilvl w:val="0"/>
          <w:numId w:val="1006"/>
        </w:numPr>
      </w:pPr>
      <w:r>
        <w:t xml:space="preserve">TPL is a high-multiple, quality-compounder name; it tends to trade on the</w:t>
      </w:r>
      <w:r>
        <w:t xml:space="preserve"> </w:t>
      </w:r>
      <w:r>
        <w:rPr>
          <w:i/>
          <w:iCs/>
        </w:rPr>
        <w:t xml:space="preserve">forward</w:t>
      </w:r>
      <w:r>
        <w:t xml:space="preserve"> </w:t>
      </w:r>
      <w:r>
        <w:t xml:space="preserve">narrative (power/data/water optionality) more than the current royalty check.</w:t>
      </w:r>
      <w:r>
        <w:t xml:space="preserve"> </w:t>
      </w:r>
      <w:r>
        <w:rPr>
          <w:b/>
          <w:bCs/>
        </w:rPr>
        <w:t xml:space="preserve">The reaction likely hinges more on desal/data-center commentary and the oil-price outlook than on the headline beat itself.</w:t>
      </w:r>
    </w:p>
    <w:p>
      <w:r>
        <w:pict>
          <v:rect style="width:0;height:1.5pt" o:hralign="center" o:hrstd="t" o:hr="t"/>
        </w:pict>
      </w:r>
    </w:p>
    <w:bookmarkEnd w:id="15"/>
    <w:bookmarkStart w:id="16" w:name="bottom-line--what-to-focus-on"/>
    <w:p>
      <w:pPr>
        <w:pStyle w:val="Heading2"/>
      </w:pPr>
      <w:r>
        <w:t xml:space="preserve">Bottom line — what to focus on</w:t>
      </w:r>
    </w:p>
    <w:p>
      <w:pPr>
        <w:pStyle w:val="Compact"/>
        <w:numPr>
          <w:ilvl w:val="0"/>
          <w:numId w:val="1007"/>
        </w:numPr>
      </w:pPr>
      <w:r>
        <w:rPr>
          <w:b/>
          <w:bCs/>
        </w:rPr>
        <w:t xml:space="preserve">Magnitude of the oil-realization jump</w:t>
      </w:r>
      <w:r>
        <w:t xml:space="preserve"> </w:t>
      </w:r>
      <w:r>
        <w:t xml:space="preserve">and the resulting record top/bottom line (unhedged = full upside captured).</w:t>
      </w:r>
    </w:p>
    <w:p>
      <w:pPr>
        <w:pStyle w:val="Compact"/>
        <w:numPr>
          <w:ilvl w:val="0"/>
          <w:numId w:val="1007"/>
        </w:numPr>
      </w:pPr>
      <w:r>
        <w:rPr>
          <w:b/>
          <w:bCs/>
        </w:rPr>
        <w:t xml:space="preserve">Management's tone on oil-price durability</w:t>
      </w:r>
      <w:r>
        <w:t xml:space="preserve"> </w:t>
      </w:r>
      <w:r>
        <w:t xml:space="preserve">and whether Permian operators are finally ramping activity in response — the bridge to</w:t>
      </w:r>
      <w:r>
        <w:t xml:space="preserve"> </w:t>
      </w:r>
      <w:r>
        <w:rPr>
          <w:i/>
          <w:iCs/>
        </w:rPr>
        <w:t xml:space="preserve">volume</w:t>
      </w:r>
      <w:r>
        <w:t xml:space="preserve"> </w:t>
      </w:r>
      <w:r>
        <w:t xml:space="preserve">(not just price) growth.</w:t>
      </w:r>
    </w:p>
    <w:p>
      <w:pPr>
        <w:pStyle w:val="Compact"/>
        <w:numPr>
          <w:ilvl w:val="0"/>
          <w:numId w:val="1007"/>
        </w:numPr>
      </w:pPr>
      <w:r>
        <w:rPr>
          <w:b/>
          <w:bCs/>
        </w:rPr>
        <w:t xml:space="preserve">Any new power/data-center deal or desalination milestone</w:t>
      </w:r>
      <w:r>
        <w:t xml:space="preserve"> </w:t>
      </w:r>
      <w:r>
        <w:t xml:space="preserve">— the real driver of the multiple.</w:t>
      </w:r>
    </w:p>
    <w:p>
      <w:pPr>
        <w:pStyle w:val="Compact"/>
        <w:numPr>
          <w:ilvl w:val="0"/>
          <w:numId w:val="1007"/>
        </w:numPr>
      </w:pPr>
      <w:r>
        <w:rPr>
          <w:b/>
          <w:bCs/>
        </w:rPr>
        <w:t xml:space="preserve">Capital return</w:t>
      </w:r>
      <w:r>
        <w:t xml:space="preserve"> </w:t>
      </w:r>
      <w:r>
        <w:t xml:space="preserve">— dividend action and any hint of a special dividend/buyback from the windfall.</w:t>
      </w:r>
    </w:p>
    <w:p>
      <w:pPr>
        <w:pStyle w:val="Compact"/>
        <w:numPr>
          <w:ilvl w:val="0"/>
          <w:numId w:val="1007"/>
        </w:numPr>
      </w:pPr>
      <w:r>
        <w:rPr>
          <w:b/>
          <w:bCs/>
        </w:rPr>
        <w:t xml:space="preserve">Risk:</w:t>
      </w:r>
      <w:r>
        <w:t xml:space="preserve"> </w:t>
      </w:r>
      <w:r>
        <w:t xml:space="preserve">a de-escalating Hormuz situation could frame a great quarter as the peak, capping upside despite strong numbers.</w:t>
      </w:r>
    </w:p>
    <w:p>
      <w:pPr>
        <w:pStyle w:val="FirstParagraph"/>
      </w:pPr>
      <w:r>
        <w:t xml:space="preserve">A beat looks probable given the macro; the more interesting question is whether the</w:t>
      </w:r>
      <w:r>
        <w:t xml:space="preserve"> </w:t>
      </w:r>
      <w:r>
        <w:rPr>
          <w:i/>
          <w:iCs/>
        </w:rPr>
        <w:t xml:space="preserve">forward</w:t>
      </w:r>
      <w:r>
        <w:t xml:space="preserve"> </w:t>
      </w:r>
      <w:r>
        <w:t xml:space="preserve">story (commodity durability + AI/power/water optionality) is strong enough to re-rate a stock that has already given back much of its war-driven gains.</w:t>
      </w:r>
    </w:p>
    <w:p>
      <w:pPr>
        <w:pStyle w:val="BodyText"/>
      </w:pPr>
      <w:r>
        <w:rPr>
          <w:i/>
          <w:iCs/>
        </w:rPr>
        <w:t xml:space="preserve">Sources: TPL Q1 2026 and Q2 2025 earnings releases and Q1 2026 earnings call transcript; daily news digests (Energy/Geopolitics, Aug 2–4, 2026); Finnhub price history; SEC insider-transaction filings.</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2026-08-05T01:45:07Z</dcterms:created>
  <dcterms:modified xsi:type="dcterms:W3CDTF">2026-08-05T01:45:07Z</dcterms:modified>
</cp:coreProperties>
</file>

<file path=docProps/custom.xml><?xml version="1.0" encoding="utf-8"?>
<Properties xmlns="http://schemas.openxmlformats.org/officeDocument/2006/custom-properties" xmlns:vt="http://schemas.openxmlformats.org/officeDocument/2006/docPropsVTypes"/>
</file>