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c6b78182be6aeae75eac79aa5a8e4f4c9e4344c"/>
    <w:p>
      <w:pPr>
        <w:pStyle w:val="Heading1"/>
      </w:pPr>
      <w:r>
        <w:t xml:space="preserve">Texas Pacific Land Corporation (TPL) —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Thursday, August 6, 2026, 9:30 am CT (implied by TPL's usual cadence)</w:t>
      </w:r>
      <w:r>
        <w:t xml:space="preserve"> </w:t>
      </w:r>
      <w:r>
        <w:rPr>
          <w:b/>
          <w:bCs/>
        </w:rPr>
        <w:t xml:space="preserve">Last close before print:</w:t>
      </w:r>
      <w:r>
        <w:t xml:space="preserve"> </w:t>
      </w:r>
      <w:r>
        <w:t xml:space="preserve">~</w:t>
      </w:r>
      <m:oMath>
        <m:r>
          <m:t>395.56</m:t>
        </m:r>
        <m:r>
          <m:rPr>
            <m:sty m:val="p"/>
          </m:rPr>
          <m:t>(</m:t>
        </m:r>
        <m:r>
          <m:t>8</m:t>
        </m:r>
        <m:r>
          <m:rPr>
            <m:sty m:val="p"/>
          </m:rPr>
          <m:t>/</m:t>
        </m:r>
        <m:r>
          <m:t>4</m:t>
        </m:r>
        <m:r>
          <m:rPr>
            <m:sty m:val="p"/>
          </m:rPr>
          <m:t>/</m:t>
        </m:r>
        <m:r>
          <m:t>26</m:t>
        </m:r>
        <m:r>
          <m:rPr>
            <m:sty m:val="p"/>
          </m:rPr>
          <m:t>)</m:t>
        </m:r>
        <m:r>
          <m:rPr>
            <m:sty m:val="p"/>
          </m:rPr>
          <m:t>|</m:t>
        </m:r>
        <m:r>
          <m:rPr>
            <m:sty m:val="p"/>
          </m:rPr>
          <m:t>*</m:t>
        </m:r>
        <m:r>
          <m:rPr>
            <m:sty m:val="p"/>
          </m:rPr>
          <m:t>*</m:t>
        </m:r>
        <m:r>
          <m:t>52</m:t>
        </m:r>
        <m:r>
          <m:rPr>
            <m:sty m:val="p"/>
          </m:rPr>
          <m:t>−</m:t>
        </m:r>
        <m:r>
          <m:t>w</m:t>
        </m:r>
        <m:r>
          <m:t>e</m:t>
        </m:r>
        <m:r>
          <m:t>e</m:t>
        </m:r>
        <m:r>
          <m:t>k</m:t>
        </m:r>
        <m:r>
          <m:t>r</m:t>
        </m:r>
        <m:r>
          <m:t>a</m:t>
        </m:r>
        <m:r>
          <m:t>n</m:t>
        </m:r>
        <m:r>
          <m:t>g</m:t>
        </m:r>
        <m:r>
          <m:t>e</m:t>
        </m:r>
        <m:r>
          <m:rPr>
            <m:sty m:val="p"/>
          </m:rPr>
          <m:t>:</m:t>
        </m:r>
        <m:r>
          <m:rPr>
            <m:sty m:val="p"/>
          </m:rPr>
          <m:t>*</m:t>
        </m:r>
        <m:r>
          <m:rPr>
            <m:sty m:val="p"/>
          </m:rPr>
          <m:t>*</m:t>
        </m:r>
        <m:r>
          <m:t> </m:t>
        </m:r>
      </m:oMath>
      <w:r>
        <w:t xml:space="preserve">273 – $539 (post 3-for-1 split, effective Dec. 22, 2025)</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TPL comes into this report on the back of a record Q1 2026 and a stock that has been on a wild ride — up as much as ~90% from December lows to a March 2026 peak near</w:t>
      </w:r>
      <w:r>
        <w:t xml:space="preserve"> </w:t>
      </w:r>
      <m:oMath>
        <m:r>
          <m:t>536</m:t>
        </m:r>
        <m:r>
          <m:rPr>
            <m:sty m:val="p"/>
          </m:rPr>
          <m:t>,</m:t>
        </m:r>
        <m:r>
          <m:t>t</m:t>
        </m:r>
        <m:r>
          <m:t>h</m:t>
        </m:r>
        <m:r>
          <m:t>e</m:t>
        </m:r>
        <m:r>
          <m:t>n</m:t>
        </m:r>
        <m:r>
          <m:t>g</m:t>
        </m:r>
        <m:r>
          <m:t>i</m:t>
        </m:r>
        <m:r>
          <m:t>v</m:t>
        </m:r>
        <m:r>
          <m:t>i</m:t>
        </m:r>
        <m:r>
          <m:t>n</m:t>
        </m:r>
        <m:r>
          <m:t>g</m:t>
        </m:r>
        <m:r>
          <m:t>b</m:t>
        </m:r>
        <m:r>
          <m:t>a</m:t>
        </m:r>
        <m:r>
          <m:t>c</m:t>
        </m:r>
        <m:r>
          <m:t>k</m:t>
        </m:r>
        <m:r>
          <m:t>r</m:t>
        </m:r>
        <m:r>
          <m:t>o</m:t>
        </m:r>
        <m:r>
          <m:t>u</m:t>
        </m:r>
        <m:r>
          <m:t>g</m:t>
        </m:r>
        <m:r>
          <m:t>h</m:t>
        </m:r>
        <m:r>
          <m:t>l</m:t>
        </m:r>
        <m:r>
          <m:t>y</m:t>
        </m:r>
        <m:r>
          <m:t>a</m:t>
        </m:r>
        <m:r>
          <m:t>q</m:t>
        </m:r>
        <m:r>
          <m:t>u</m:t>
        </m:r>
        <m:r>
          <m:t>a</m:t>
        </m:r>
        <m:r>
          <m:t>r</m:t>
        </m:r>
        <m:r>
          <m:t>t</m:t>
        </m:r>
        <m:r>
          <m:t>e</m:t>
        </m:r>
        <m:r>
          <m:t>r</m:t>
        </m:r>
        <m:r>
          <m:t>o</m:t>
        </m:r>
        <m:r>
          <m:t>f</m:t>
        </m:r>
        <m:r>
          <m:t>t</m:t>
        </m:r>
        <m:r>
          <m:t>h</m:t>
        </m:r>
        <m:r>
          <m:t>a</m:t>
        </m:r>
        <m:r>
          <m:t>t</m:t>
        </m:r>
        <m:r>
          <m:t>a</m:t>
        </m:r>
        <m:r>
          <m:t>s</m:t>
        </m:r>
        <m:r>
          <m:t>o</m:t>
        </m:r>
        <m:r>
          <m:t>i</m:t>
        </m:r>
        <m:r>
          <m:t>l</m:t>
        </m:r>
        <m:r>
          <m:t>p</m:t>
        </m:r>
        <m:r>
          <m:t>r</m:t>
        </m:r>
        <m:r>
          <m:t>i</m:t>
        </m:r>
        <m:r>
          <m:t>c</m:t>
        </m:r>
        <m:r>
          <m:t>e</m:t>
        </m:r>
        <m:r>
          <m:t>s</m:t>
        </m:r>
        <m:r>
          <m:t>a</m:t>
        </m:r>
        <m:r>
          <m:t>n</m:t>
        </m:r>
        <m:r>
          <m:t>d</m:t>
        </m:r>
        <m:r>
          <m:t>a</m:t>
        </m:r>
        <m:r>
          <m:t>m</m:t>
        </m:r>
        <m:r>
          <m:t>i</m:t>
        </m:r>
        <m:r>
          <m:t>d</m:t>
        </m:r>
        <m:r>
          <m:rPr>
            <m:sty m:val="p"/>
          </m:rPr>
          <m:t>−</m:t>
        </m:r>
        <m:r>
          <m:t>q</m:t>
        </m:r>
        <m:r>
          <m:t>u</m:t>
        </m:r>
        <m:r>
          <m:t>a</m:t>
        </m:r>
        <m:r>
          <m:t>r</m:t>
        </m:r>
        <m:r>
          <m:t>t</m:t>
        </m:r>
        <m:r>
          <m:t>e</m:t>
        </m:r>
        <m:r>
          <m:t>r</m:t>
        </m:r>
        <m:r>
          <m:t>g</m:t>
        </m:r>
        <m:r>
          <m:t>o</m:t>
        </m:r>
        <m:r>
          <m:t>v</m:t>
        </m:r>
        <m:r>
          <m:t>e</m:t>
        </m:r>
        <m:r>
          <m:t>r</m:t>
        </m:r>
        <m:r>
          <m:t>n</m:t>
        </m:r>
        <m:r>
          <m:t>a</m:t>
        </m:r>
        <m:r>
          <m:t>n</m:t>
        </m:r>
        <m:r>
          <m:t>c</m:t>
        </m:r>
        <m:r>
          <m:t>e</m:t>
        </m:r>
        <m:r>
          <m:t>s</m:t>
        </m:r>
        <m:r>
          <m:t>h</m:t>
        </m:r>
        <m:r>
          <m:t>o</m:t>
        </m:r>
        <m:r>
          <m:t>c</m:t>
        </m:r>
        <m:r>
          <m:t>k</m:t>
        </m:r>
        <m:r>
          <m:rPr>
            <m:sty m:val="p"/>
          </m:rPr>
          <m:t>(</m:t>
        </m:r>
        <m:r>
          <m:t>t</m:t>
        </m:r>
        <m:r>
          <m:t>h</m:t>
        </m:r>
        <m:r>
          <m:t>e</m:t>
        </m:r>
        <m:r>
          <m:t>p</m:t>
        </m:r>
        <m:r>
          <m:t>a</m:t>
        </m:r>
        <m:r>
          <m:t>s</m:t>
        </m:r>
        <m:r>
          <m:t>s</m:t>
        </m:r>
        <m:r>
          <m:t>i</m:t>
        </m:r>
        <m:r>
          <m:t>n</m:t>
        </m:r>
        <m:r>
          <m:t>g</m:t>
        </m:r>
        <m:r>
          <m:t>o</m:t>
        </m:r>
        <m:r>
          <m:t>f</m:t>
        </m:r>
        <m:r>
          <m:t>l</m:t>
        </m:r>
        <m:r>
          <m:t>o</m:t>
        </m:r>
        <m:r>
          <m:t>n</m:t>
        </m:r>
        <m:r>
          <m:t>g</m:t>
        </m:r>
        <m:r>
          <m:t>t</m:t>
        </m:r>
        <m:r>
          <m:t>i</m:t>
        </m:r>
        <m:r>
          <m:t>m</m:t>
        </m:r>
        <m:r>
          <m:t>e</m:t>
        </m:r>
        <m:r>
          <m:t>l</m:t>
        </m:r>
        <m:r>
          <m:t>a</m:t>
        </m:r>
        <m:r>
          <m:t>r</m:t>
        </m:r>
        <m:r>
          <m:t>g</m:t>
        </m:r>
        <m:r>
          <m:t>e</m:t>
        </m:r>
        <m:r>
          <m:t>s</m:t>
        </m:r>
        <m:r>
          <m:t>t</m:t>
        </m:r>
        <m:r>
          <m:rPr>
            <m:sty m:val="p"/>
          </m:rPr>
          <m:t>−</m:t>
        </m:r>
        <m:r>
          <m:t>s</m:t>
        </m:r>
        <m:r>
          <m:t>h</m:t>
        </m:r>
        <m:r>
          <m:t>a</m:t>
        </m:r>
        <m:r>
          <m:t>r</m:t>
        </m:r>
        <m:r>
          <m:t>e</m:t>
        </m:r>
        <m:r>
          <m:t>h</m:t>
        </m:r>
        <m:r>
          <m:t>o</m:t>
        </m:r>
        <m:r>
          <m:t>l</m:t>
        </m:r>
        <m:r>
          <m:t>d</m:t>
        </m:r>
        <m:r>
          <m:t>e</m:t>
        </m:r>
        <m:r>
          <m:t>r</m:t>
        </m:r>
        <m:r>
          <m:t>r</m:t>
        </m:r>
        <m:r>
          <m:t>e</m:t>
        </m:r>
        <m:r>
          <m:t>p</m:t>
        </m:r>
        <m:r>
          <m:t>r</m:t>
        </m:r>
        <m:r>
          <m:t>e</m:t>
        </m:r>
        <m:r>
          <m:t>s</m:t>
        </m:r>
        <m:r>
          <m:t>e</m:t>
        </m:r>
        <m:r>
          <m:t>n</m:t>
        </m:r>
        <m:r>
          <m:t>t</m:t>
        </m:r>
        <m:r>
          <m:t>a</m:t>
        </m:r>
        <m:r>
          <m:t>t</m:t>
        </m:r>
        <m:r>
          <m:t>i</m:t>
        </m:r>
        <m:r>
          <m:t>v</m:t>
        </m:r>
        <m:r>
          <m:t>e</m:t>
        </m:r>
        <m:r>
          <m:t>M</m:t>
        </m:r>
        <m:r>
          <m:t>u</m:t>
        </m:r>
        <m:r>
          <m:t>r</m:t>
        </m:r>
        <m:r>
          <m:t>r</m:t>
        </m:r>
        <m:r>
          <m:t>a</m:t>
        </m:r>
        <m:r>
          <m:t>y</m:t>
        </m:r>
        <m:r>
          <m:t>S</m:t>
        </m:r>
        <m:r>
          <m:t>t</m:t>
        </m:r>
        <m:r>
          <m:t>a</m:t>
        </m:r>
        <m:r>
          <m:t>h</m:t>
        </m:r>
        <m:r>
          <m:t>l</m:t>
        </m:r>
        <m:r>
          <m:t>i</m:t>
        </m:r>
        <m:r>
          <m:t>n</m:t>
        </m:r>
        <m:r>
          <m:t>A</m:t>
        </m:r>
        <m:r>
          <m:t>p</m:t>
        </m:r>
        <m:r>
          <m:t>r</m:t>
        </m:r>
        <m:r>
          <m:t>i</m:t>
        </m:r>
        <m:r>
          <m:t>l</m:t>
        </m:r>
        <m:r>
          <m:rPr>
            <m:sty m:val="p"/>
          </m:rPr>
          <m:t>)</m:t>
        </m:r>
        <m:r>
          <m:t>w</m:t>
        </m:r>
        <m:r>
          <m:t>e</m:t>
        </m:r>
        <m:r>
          <m:t>i</m:t>
        </m:r>
        <m:r>
          <m:t>g</m:t>
        </m:r>
        <m:r>
          <m:t>h</m:t>
        </m:r>
        <m:r>
          <m:t>e</m:t>
        </m:r>
        <m:r>
          <m:t>d</m:t>
        </m:r>
        <m:r>
          <m:t>o</m:t>
        </m:r>
        <m:r>
          <m:t>n</m:t>
        </m:r>
        <m:r>
          <m:t>s</m:t>
        </m:r>
        <m:r>
          <m:t>e</m:t>
        </m:r>
        <m:r>
          <m:t>n</m:t>
        </m:r>
        <m:r>
          <m:t>t</m:t>
        </m:r>
        <m:r>
          <m:t>i</m:t>
        </m:r>
        <m:r>
          <m:t>m</m:t>
        </m:r>
        <m:r>
          <m:t>e</m:t>
        </m:r>
        <m:r>
          <m:t>n</m:t>
        </m:r>
        <m:r>
          <m:t>t</m:t>
        </m:r>
        <m:r>
          <m:rPr>
            <m:sty m:val="p"/>
          </m:rPr>
          <m:t>.</m:t>
        </m:r>
        <m:r>
          <m:t>S</m:t>
        </m:r>
        <m:r>
          <m:t>h</m:t>
        </m:r>
        <m:r>
          <m:t>a</m:t>
        </m:r>
        <m:r>
          <m:t>r</m:t>
        </m:r>
        <m:r>
          <m:t>e</m:t>
        </m:r>
        <m:r>
          <m:t>s</m:t>
        </m:r>
        <m:r>
          <m:t>h</m:t>
        </m:r>
        <m:r>
          <m:t>a</m:t>
        </m:r>
        <m:r>
          <m:t>v</m:t>
        </m:r>
        <m:r>
          <m:t>e</m:t>
        </m:r>
        <m:r>
          <m:t>s</m:t>
        </m:r>
        <m:r>
          <m:t>i</m:t>
        </m:r>
        <m:r>
          <m:t>n</m:t>
        </m:r>
        <m:r>
          <m:t>c</m:t>
        </m:r>
        <m:r>
          <m:t>e</m:t>
        </m:r>
        <m:r>
          <m:t>s</m:t>
        </m:r>
        <m:r>
          <m:t>t</m:t>
        </m:r>
        <m:r>
          <m:t>a</m:t>
        </m:r>
        <m:r>
          <m:t>b</m:t>
        </m:r>
        <m:r>
          <m:t>i</m:t>
        </m:r>
        <m:r>
          <m:t>l</m:t>
        </m:r>
        <m:r>
          <m:t>i</m:t>
        </m:r>
        <m:r>
          <m:t>z</m:t>
        </m:r>
        <m:r>
          <m:t>e</m:t>
        </m:r>
        <m:r>
          <m:t>d</m:t>
        </m:r>
        <m:r>
          <m:t>i</m:t>
        </m:r>
        <m:r>
          <m:t>n</m:t>
        </m:r>
        <m:r>
          <m:t>t</m:t>
        </m:r>
        <m:r>
          <m:t>h</m:t>
        </m:r>
        <m:r>
          <m:t>e</m:t>
        </m:r>
        <m:r>
          <m:t>h</m:t>
        </m:r>
        <m:r>
          <m:t>i</m:t>
        </m:r>
        <m:r>
          <m:t>g</m:t>
        </m:r>
        <m:r>
          <m:t>h</m:t>
        </m:r>
        <m:r>
          <m:rPr>
            <m:sty m:val="p"/>
          </m:rPr>
          <m:t>−</m:t>
        </m:r>
      </m:oMath>
      <w:r>
        <w:t xml:space="preserve">300s/low-$400s, rallying on the late-June Chevron "Project Kilby" land/water deal before fading again into earnings.</w:t>
      </w:r>
    </w:p>
    <w:p>
      <w:pPr>
        <w:pStyle w:val="BodyText"/>
      </w:pPr>
      <w:r>
        <w:t xml:space="preserve">Sell-side sentiment is split — coverage is thin (1-2 named analysts in most trackers) with ratings ranging from Hold to Buy and price targets spanning roughly</w:t>
      </w:r>
      <w:r>
        <w:t xml:space="preserve"> </w:t>
      </w:r>
      <w:r>
        <w:rPr>
          <w:b/>
          <w:bCs/>
        </w:rPr>
        <w:t xml:space="preserve">$443 to $639</w:t>
      </w:r>
      <w:r>
        <w:t xml:space="preserve">, reflecting genuinely divergent views on how to value TPL's blended royalty/water/optionality business. Consensus reportedly expects</w:t>
      </w:r>
      <w:r>
        <w:t xml:space="preserve"> </w:t>
      </w:r>
      <w:r>
        <w:rPr>
          <w:b/>
          <w:bCs/>
        </w:rPr>
        <w:t xml:space="preserve">EPS up ~27% year-over-year</w:t>
      </w:r>
      <w:r>
        <w:t xml:space="preserve">, consistent with the combination of higher production, higher realized oil prices, and the ongoing ramp in water and produced-water volumes.</w:t>
      </w:r>
    </w:p>
    <w:bookmarkEnd w:id="9"/>
    <w:bookmarkStart w:id="10" w:name="X79efbbba3c6f2a2b44e9011a7cc9157afba19ed"/>
    <w:p>
      <w:pPr>
        <w:pStyle w:val="Heading2"/>
      </w:pPr>
      <w:r>
        <w:t xml:space="preserve">2. What TPL Is, In Brief</w:t>
      </w:r>
    </w:p>
    <w:p>
      <w:pPr>
        <w:pStyle w:val="FirstParagraph"/>
      </w:pPr>
      <w:r>
        <w:t xml:space="preserve">TPL is one of the largest landowners in the State of Texas with approximately 881,000 acres of land, with the majority of its ownership concentrated in the Permian Basin, plus a large net royalty acreage position. It is not an operator — the Company is not an oil and gas producer, but its surface and royalty ownership provides revenue opportunities throughout the life cycle of a well, spanning oil &amp; gas royalties, water sales, produced water royalties, easements/surface income, and land sales, split into two reporting segments: Land &amp; Resource Management (LRM) and Water Services &amp; Operations (WSO).</w:t>
      </w:r>
    </w:p>
    <w:bookmarkEnd w:id="10"/>
    <w:bookmarkStart w:id="11" w:name="Xcc9ea80c5a1a9222ef29aa4be5203c2f8f594cc"/>
    <w:p>
      <w:pPr>
        <w:pStyle w:val="Heading2"/>
      </w:pPr>
      <w:r>
        <w:t xml:space="preserve">3. The Base Case: Q1 2026 Recap (last reported quarter)</w:t>
      </w:r>
    </w:p>
    <w:p>
      <w:pPr>
        <w:pStyle w:val="FirstParagraph"/>
      </w:pPr>
      <w:r>
        <w:t xml:space="preserve">Q1 2026 was a record quarter across nearly every metric:</w:t>
      </w:r>
    </w:p>
    <w:p>
      <w:pPr>
        <w:pStyle w:val="Compact"/>
        <w:numPr>
          <w:ilvl w:val="0"/>
          <w:numId w:val="1001"/>
        </w:numPr>
      </w:pPr>
      <w:r>
        <w:t xml:space="preserve">Consolidated net income of $142.9 million, or $2.07 per share (diluted), with Adjusted EBITDA of $181.4 million and Free cash flow of $136.4 million.</w:t>
      </w:r>
    </w:p>
    <w:p>
      <w:pPr>
        <w:pStyle w:val="Compact"/>
        <w:numPr>
          <w:ilvl w:val="0"/>
          <w:numId w:val="1001"/>
        </w:numPr>
      </w:pPr>
      <w:r>
        <w:t xml:space="preserve">Oil and gas royalty production of 37.1 thousand barrels of oil equivalent ("Boe") per day, and management noted production was roughly flat sequentially, and up roughly 19% year-over-year.</w:t>
      </w:r>
    </w:p>
    <w:p>
      <w:pPr>
        <w:pStyle w:val="Compact"/>
        <w:numPr>
          <w:ilvl w:val="0"/>
          <w:numId w:val="1001"/>
        </w:numPr>
      </w:pPr>
      <w:r>
        <w:t xml:space="preserve">Revenue mix: Land and Resource Management segment revenues of $153.6 million; Water Services and Operations segment revenues of $83.3 million.</w:t>
      </w:r>
    </w:p>
    <w:p>
      <w:pPr>
        <w:pStyle w:val="Compact"/>
        <w:numPr>
          <w:ilvl w:val="0"/>
          <w:numId w:val="1001"/>
        </w:numPr>
      </w:pPr>
      <w:r>
        <w:t xml:space="preserve">Net well inventory (permits + DUCs + CUPs) rose to 20.7 net line-of-sight wells, which represents a 6% sequential increase, with new permits/spuds carrying an average lateral length in excess of 13,000 feet — a positive underlying signal for future royalty volumes even if headline well counts look modest.</w:t>
      </w:r>
    </w:p>
    <w:p>
      <w:pPr>
        <w:pStyle w:val="Compact"/>
        <w:numPr>
          <w:ilvl w:val="0"/>
          <w:numId w:val="1001"/>
        </w:numPr>
      </w:pPr>
      <w:r>
        <w:t xml:space="preserve">The quarter also included a one-time item: TPL sold land for aggregate consideration of $42.5 million pursuant to a financing arrangement with the developer, resulting in immediate recognition of $20.9 million in land sale revenue, tied to its first disclosed data-center/power-generation land deal.</w:t>
      </w:r>
    </w:p>
    <w:p>
      <w:pPr>
        <w:pStyle w:val="FirstParagraph"/>
      </w:pPr>
      <w:r>
        <w:t xml:space="preserve">Importantly, Q1's realized commodity price actually</w:t>
      </w:r>
      <w:r>
        <w:t xml:space="preserve"> </w:t>
      </w:r>
      <w:r>
        <w:rPr>
          <w:i/>
          <w:iCs/>
        </w:rPr>
        <w:t xml:space="preserve">fell</w:t>
      </w:r>
      <w:r>
        <w:t xml:space="preserve"> </w:t>
      </w:r>
      <w:r>
        <w:t xml:space="preserve">year-over-year even as revenue and earnings hit records — the Company's average realized price was $37.06 per Boe in the first quarter of 2026 compared to $29.33 per Boe in the fourth quarter of 2025, and versus $41.58/Boe in Q1 2025 — underscoring that volume growth, water/produced-water strength, and the land sale, not just price, drove the beat.</w:t>
      </w:r>
    </w:p>
    <w:bookmarkEnd w:id="11"/>
    <w:bookmarkStart w:id="12" w:name="X3221295171b5f4e21f0f77314f5c9ef623c8c3b"/>
    <w:p>
      <w:pPr>
        <w:pStyle w:val="Heading2"/>
      </w:pPr>
      <w:r>
        <w:t xml:space="preserve">4. The Comparable Base: Q2 2025 (prior-year quarter TPL is lapping)</w:t>
      </w:r>
    </w:p>
    <w:p>
      <w:pPr>
        <w:pStyle w:val="FirstParagraph"/>
      </w:pPr>
      <w:r>
        <w:t xml:space="preserve">Note: TPL executed a 3-for-1 stock split effective Dec. 22, 2025, so headline Q2 2025 figures below are pre-split.</w:t>
      </w:r>
    </w:p>
    <w:p>
      <w:pPr>
        <w:pStyle w:val="Compact"/>
        <w:numPr>
          <w:ilvl w:val="0"/>
          <w:numId w:val="1002"/>
        </w:numPr>
      </w:pPr>
      <w:r>
        <w:t xml:space="preserve">Oil and gas royalty production of 33.2 thousand barrels of oil equivalent ("Boe") per day</w:t>
      </w:r>
    </w:p>
    <w:p>
      <w:pPr>
        <w:pStyle w:val="Compact"/>
        <w:numPr>
          <w:ilvl w:val="0"/>
          <w:numId w:val="1002"/>
        </w:numPr>
      </w:pPr>
      <w:r>
        <w:t xml:space="preserve">Consolidated net income of $116.1 million, or $5.05 per share (diluted) (≈ $1.68/share on a split-adjusted basis)</w:t>
      </w:r>
    </w:p>
    <w:p>
      <w:pPr>
        <w:pStyle w:val="Compact"/>
        <w:numPr>
          <w:ilvl w:val="0"/>
          <w:numId w:val="1002"/>
        </w:numPr>
      </w:pPr>
      <w:r>
        <w:t xml:space="preserve">Adjusted EBITDA of $166.2 million; Free cash flow of $130.1 million</w:t>
      </w:r>
    </w:p>
    <w:p>
      <w:pPr>
        <w:pStyle w:val="Compact"/>
        <w:numPr>
          <w:ilvl w:val="0"/>
          <w:numId w:val="1002"/>
        </w:numPr>
      </w:pPr>
      <w:r>
        <w:t xml:space="preserve">Record segment marks at the time: Easements and other surface-related income revenue ("SLEM") of $36.2 million and Produced water royalties revenue of $30.7 million</w:t>
      </w:r>
    </w:p>
    <w:p>
      <w:pPr>
        <w:pStyle w:val="Compact"/>
        <w:numPr>
          <w:ilvl w:val="0"/>
          <w:numId w:val="1002"/>
        </w:numPr>
      </w:pPr>
      <w:r>
        <w:t xml:space="preserve">Realized price was $32.94 per Boe in the second quarter of 2025</w:t>
      </w:r>
    </w:p>
    <w:p>
      <w:pPr>
        <w:pStyle w:val="FirstParagraph"/>
      </w:pPr>
      <w:r>
        <w:t xml:space="preserve">Given ~37 Mboe/d of production already logged in Q1 2026 (up from 33.2 Mboe/d a year ago) and a materially higher realized-price backdrop this year (see macro section below), the bar for a YoY beat in oil &amp; gas royalties looks achievable — the real swing factors are the lumpy SLEM/land-sale line and the water segment's volume trend.</w:t>
      </w:r>
    </w:p>
    <w:bookmarkEnd w:id="12"/>
    <w:bookmarkStart w:id="13" w:name="X0dbcb6dfb7e62c759cd288d402035eb2a1fa3cb"/>
    <w:p>
      <w:pPr>
        <w:pStyle w:val="Heading2"/>
      </w:pPr>
      <w:r>
        <w:t xml:space="preserve">5. Macro Backdrop: An Unusually Volatile Oil Tape</w:t>
      </w:r>
    </w:p>
    <w:p>
      <w:pPr>
        <w:pStyle w:val="FirstParagraph"/>
      </w:pPr>
      <w:r>
        <w:t xml:space="preserve">This is arguably the single most important variable for the print, because</w:t>
      </w:r>
      <w:r>
        <w:t xml:space="preserve"> </w:t>
      </w:r>
      <w:r>
        <w:rPr>
          <w:b/>
          <w:bCs/>
        </w:rPr>
        <w:t xml:space="preserve">TPL remains fully unhedged</w:t>
      </w:r>
      <w:r>
        <w:t xml:space="preserve">. On the Q1 call, CFO Chris Steddum quantified the sensitivity: using our royalty production volumes for fiscal year 2025 and as an illustrative guide, the roughly 5 million barrels of annual oil production means that every $10 per barrel increase in oil realizations would equate to approximately $50 million, with every $5 per barrel increase to our NGL realization adding roughly $17 million annually.</w:t>
      </w:r>
    </w:p>
    <w:p>
      <w:pPr>
        <w:pStyle w:val="BodyText"/>
      </w:pPr>
      <w:r>
        <w:t xml:space="preserve">The backdrop has been extraordinary. TPL's own 10-Q explains that in February 2026, an escalating military conflict in Iran led to attacks on energy infrastructure in the broader Middle East and caused major disruptions to the Strait of Hormuz, a critical shipping channel where a significant portion of global oil and liquefied natural gas supply transits through daily. As a result, global oil prices increased to over $90 per barrel during parts of March and April 2026. Management reiterated on the Q1 call that with crude oil prices spiking dramatically over the last few months, TPL is poised to benefit directly through our oil and gas royalties and indirectly through our diversified exposure across surface and water, while cautioning that there is still a lot of industry uncertainty around the duration of this oil supply shock.</w:t>
      </w:r>
    </w:p>
    <w:p>
      <w:pPr>
        <w:pStyle w:val="BodyText"/>
      </w:pPr>
      <w:r>
        <w:t xml:space="preserve">Since then, the picture has been choppy rather than one-directional: a U.S.-Iran memorandum of understanding to reopen the Strait was reportedly signed in mid-June, oil gave back much of its spike into early July, but volatility (and price) reasserted itself later in July as evidenced by peer results (Diamondback and Marathon Petroleum both cited elevated refining/production economics tied to the conflict in their Q2 reports released this week) before easing again into early August. Investors should expect</w:t>
      </w:r>
      <w:r>
        <w:t xml:space="preserve"> </w:t>
      </w:r>
      <w:r>
        <w:rPr>
          <w:b/>
          <w:bCs/>
        </w:rPr>
        <w:t xml:space="preserve">management commentary on realized prices, hedging philosophy (still none), and the durability of elevated pricing</w:t>
      </w:r>
      <w:r>
        <w:t xml:space="preserve"> </w:t>
      </w:r>
      <w:r>
        <w:t xml:space="preserve">to be a key focus on the call — as CEO Ty Glover noted, although oil prices at these current levels would generally stimulate a more robust producer response, there is still a lot of industry uncertainty around the duration of this oil supply shock.</w:t>
      </w:r>
    </w:p>
    <w:p>
      <w:pPr>
        <w:pStyle w:val="BodyText"/>
      </w:pPr>
      <w:r>
        <w:t xml:space="preserve">Separately, the 10-Q flagged that Permian activity has been measured despite high prices: Average WTI Cushing oil and Henry Hub natural gas prices for the three months ended March 31, 2026 increased compared to the same period in 2025... Although average rig counts during the three months ended March 31, 2026 were lower compared to the same period in 2025, increased drilling and completion efficiencies have allowed operators, in aggregate, to grow Permian Basin production. Watch for an update on whether operators have started ramping activity in response to the sustained price signal — Glover flagged on the Q1 call that we've only seen a marginal uptick in recent operator activity, but that a durable high-price regime could unlock a more robust response given the Permian's inventory depth.</w:t>
      </w:r>
    </w:p>
    <w:bookmarkEnd w:id="13"/>
    <w:bookmarkStart w:id="14" w:name="X20ccef338399fe843374c65fb049113f0f48bf9"/>
    <w:p>
      <w:pPr>
        <w:pStyle w:val="Heading2"/>
      </w:pPr>
      <w:r>
        <w:t xml:space="preserve">6. Key Things to Watch on the Q2 Print/Call</w:t>
      </w:r>
    </w:p>
    <w:p>
      <w:pPr>
        <w:pStyle w:val="FirstParagraph"/>
      </w:pPr>
      <w:r>
        <w:rPr>
          <w:b/>
          <w:bCs/>
        </w:rPr>
        <w:t xml:space="preserve">a. Oil &amp; gas royalty volumes and realized price.</w:t>
      </w:r>
      <w:r>
        <w:t xml:space="preserve"> </w:t>
      </w:r>
      <w:r>
        <w:t xml:space="preserve">The trajectory of net well inventory (permits/DUCs/CUPs) and lateral lengths should continue feeding through to production growth; the realized-price swing versus both Q1 2026 (</w:t>
      </w:r>
      <m:oMath>
        <m:r>
          <m:t>37.06</m:t>
        </m:r>
        <m:r>
          <m:rPr>
            <m:sty m:val="p"/>
          </m:rPr>
          <m:t>/</m:t>
        </m:r>
        <m:r>
          <m:t>B</m:t>
        </m:r>
        <m:r>
          <m:t>o</m:t>
        </m:r>
        <m:r>
          <m:t>e</m:t>
        </m:r>
        <m:r>
          <m:rPr>
            <m:sty m:val="p"/>
          </m:rPr>
          <m:t>)</m:t>
        </m:r>
        <m:r>
          <m:t>a</m:t>
        </m:r>
        <m:r>
          <m:t>n</m:t>
        </m:r>
        <m:r>
          <m:t>d</m:t>
        </m:r>
        <m:r>
          <m:t>Q</m:t>
        </m:r>
        <m:r>
          <m:t>2</m:t>
        </m:r>
        <m:r>
          <m:t>2025</m:t>
        </m:r>
        <m:r>
          <m:rPr>
            <m:sty m:val="p"/>
          </m:rPr>
          <m:t>(</m:t>
        </m:r>
      </m:oMath>
      <w:r>
        <w:t xml:space="preserve">32.94/Boe) will be the largest single driver of the beat/miss versus consensus.</w:t>
      </w:r>
    </w:p>
    <w:p>
      <w:pPr>
        <w:pStyle w:val="BodyText"/>
      </w:pPr>
      <w:r>
        <w:rPr>
          <w:b/>
          <w:bCs/>
        </w:rPr>
        <w:t xml:space="preserve">b. Water segment trend, not just the quarter.</w:t>
      </w:r>
      <w:r>
        <w:t xml:space="preserve"> </w:t>
      </w:r>
      <w:r>
        <w:t xml:space="preserve">Management has pushed back on reading too much into single-quarter water swings. EVP Robert Crain said on the Q1 call: when you start looking at that 3-quarter trend, look, we think that's much more reflective of the contractual and functional nature of what we've been doing to drive volumes. We are still very bullish on the produced water space. Expect Q2 volumes (water sales + produced water royalties) to be framed against that multi-quarter trend rather than the Q1 sequential dip.</w:t>
      </w:r>
    </w:p>
    <w:p>
      <w:pPr>
        <w:pStyle w:val="BodyText"/>
      </w:pPr>
      <w:r>
        <w:rPr>
          <w:b/>
          <w:bCs/>
        </w:rPr>
        <w:t xml:space="preserve">c. SLEM/easement lumpiness.</w:t>
      </w:r>
      <w:r>
        <w:t xml:space="preserve"> </w:t>
      </w:r>
      <w:r>
        <w:t xml:space="preserve">Glover cautioned I wouldn't read too much into any single quarter. SLEM can get pretty lumpy. We may have quite a few big infrastructure projects hit within a quarter. A quiet SLEM quarter would not necessarily be a red flag.</w:t>
      </w:r>
    </w:p>
    <w:p>
      <w:pPr>
        <w:pStyle w:val="BodyText"/>
      </w:pPr>
      <w:r>
        <w:rPr>
          <w:b/>
          <w:bCs/>
        </w:rPr>
        <w:t xml:space="preserve">d. Data center / power generation deal flow — the emerging story.</w:t>
      </w:r>
      <w:r>
        <w:t xml:space="preserve"> </w:t>
      </w:r>
      <w:r>
        <w:t xml:space="preserve">This is the market's biggest "option value" narrative right now. Since the Q1 call, TPL announced a second, more concrete deal: on June 23, 2026, TPL agreed to provide land and brackish water resources for Chevron's recently announced development known as Project Kilby, involving a large-scale power generation facility Chevron is developing to support a customer data center in Reeves County, Texas, receiving cash consideration and the exclusive right to source aquifer-derived water for the power generation facility and other associated aspects of the project. Combined with the Q1 land sale/water-supply deal (structured as $42.5mm in payments through 2046), investors should listen for: additional counterparties/deal announcements, whether brackish vs. desalinated produced water becomes the preferred supply source, and updated framing of the addressable opportunity — Glover has said multiple multi-gig energy campuses on our acreage are viable, and that's definitely the goal.</w:t>
      </w:r>
    </w:p>
    <w:p>
      <w:pPr>
        <w:pStyle w:val="BodyText"/>
      </w:pPr>
      <w:r>
        <w:rPr>
          <w:b/>
          <w:bCs/>
        </w:rPr>
        <w:t xml:space="preserve">e. Desalination facility startup.</w:t>
      </w:r>
      <w:r>
        <w:t xml:space="preserve"> </w:t>
      </w:r>
      <w:r>
        <w:t xml:space="preserve">TPL's 10,000 bbl/day Orla R&amp;D-at-scale desalination facility was targeted to reach an estimated service date during the second quarter of 2026, after management said on the Q1 call it expected to begin flowing inlet water barrels in the coming weeks. This should now be operational — look for early operating data, cost-per-barrel economics, and any update on co-location/waste-heat-capture commercial structures, which Crain described as the next phase of validating economics beyond the pure upstream use case.</w:t>
      </w:r>
    </w:p>
    <w:p>
      <w:pPr>
        <w:pStyle w:val="BodyText"/>
      </w:pPr>
      <w:r>
        <w:rPr>
          <w:b/>
          <w:bCs/>
        </w:rPr>
        <w:t xml:space="preserve">f. Capital allocation / balance sheet.</w:t>
      </w:r>
      <w:r>
        <w:t xml:space="preserve"> </w:t>
      </w:r>
      <w:r>
        <w:t xml:space="preserve">As of Q1, TPL held cash and cash equivalents of $247.6 million against a target cash and cash equivalents balance of approximately $700 million, with the $500 million credit facility undrawn. Until cash approaches that target, incremental special dividends/buybacks are less likely near-term; the quarterly regular dividend has been $0.60/share (post-split) most recently. Watch for commentary on pace of cash build and any change to the capital return framework.</w:t>
      </w:r>
    </w:p>
    <w:p>
      <w:pPr>
        <w:pStyle w:val="BodyText"/>
      </w:pPr>
      <w:r>
        <w:rPr>
          <w:b/>
          <w:bCs/>
        </w:rPr>
        <w:t xml:space="preserve">g. Governance/board matters.</w:t>
      </w:r>
      <w:r>
        <w:t xml:space="preserve"> </w:t>
      </w:r>
      <w:r>
        <w:t xml:space="preserve">Following Murray Stahl's passing, Horizon Kinetics co-CEO Peter Doyle was appointed to TPL's board in May 2026 and continues to be a large, active buyer of TPL stock (frequent Horizon Kinetics insider purchases have continued into late July/early August per Form 4 filings). Any additional color on the Horizon Kinetics relationship or board composition would be notable, if minor relative to fundamentals.</w:t>
      </w:r>
    </w:p>
    <w:bookmarkEnd w:id="14"/>
    <w:bookmarkStart w:id="15" w:name="X21e8394f5ff68510f47091937594d10a47112a1"/>
    <w:p>
      <w:pPr>
        <w:pStyle w:val="Heading2"/>
      </w:pPr>
      <w:r>
        <w:t xml:space="preserve">7. Risks/Swing Factors Into the Quarter</w:t>
      </w:r>
    </w:p>
    <w:p>
      <w:pPr>
        <w:pStyle w:val="Compact"/>
        <w:numPr>
          <w:ilvl w:val="0"/>
          <w:numId w:val="1003"/>
        </w:numPr>
      </w:pPr>
      <w:r>
        <w:rPr>
          <w:b/>
          <w:bCs/>
        </w:rPr>
        <w:t xml:space="preserve">Oil price reversal risk:</w:t>
      </w:r>
      <w:r>
        <w:t xml:space="preserve"> </w:t>
      </w:r>
      <w:r>
        <w:t xml:space="preserve">TPL's unhedged stance is a double-edged sword — the same conflict-driven spike that boosted Q1/Q2 realizations could reverse quickly if the Iran conflict de-escalates further and global inventories rebuild, as flagged in TPL's own risk disclosures around the "duration of this oil supply shock."</w:t>
      </w:r>
    </w:p>
    <w:p>
      <w:pPr>
        <w:pStyle w:val="Compact"/>
        <w:numPr>
          <w:ilvl w:val="0"/>
          <w:numId w:val="1003"/>
        </w:numPr>
      </w:pPr>
      <w:r>
        <w:rPr>
          <w:b/>
          <w:bCs/>
        </w:rPr>
        <w:t xml:space="preserve">Capital-discipline lag:</w:t>
      </w:r>
      <w:r>
        <w:t xml:space="preserve"> </w:t>
      </w:r>
      <w:r>
        <w:t xml:space="preserve">E&amp;Ps have so far shown only a "marginal uptick" in activity despite high prices; if operators stay disciplined, the volume upside from elevated pricing may take longer to show up in permits/rig counts/DUCs.</w:t>
      </w:r>
    </w:p>
    <w:p>
      <w:pPr>
        <w:pStyle w:val="Compact"/>
        <w:numPr>
          <w:ilvl w:val="0"/>
          <w:numId w:val="1003"/>
        </w:numPr>
      </w:pPr>
      <w:r>
        <w:rPr>
          <w:b/>
          <w:bCs/>
        </w:rPr>
        <w:t xml:space="preserve">Execution risk on new verticals:</w:t>
      </w:r>
      <w:r>
        <w:t xml:space="preserve"> </w:t>
      </w:r>
      <w:r>
        <w:t xml:space="preserve">Data-center/power deals and desalination remain early-stage, with wide ranges of possible deal structures ("virtually all of our ongoing discussions... have substantially different makeups," per Glover) — near-term financial contribution is likely to stay small and lumpy even as the market prices in optionality.</w:t>
      </w:r>
    </w:p>
    <w:p>
      <w:pPr>
        <w:pStyle w:val="Compact"/>
        <w:numPr>
          <w:ilvl w:val="0"/>
          <w:numId w:val="1003"/>
        </w:numPr>
      </w:pPr>
      <w:r>
        <w:rPr>
          <w:b/>
          <w:bCs/>
        </w:rPr>
        <w:t xml:space="preserve">Valuation/sentiment:</w:t>
      </w:r>
      <w:r>
        <w:t xml:space="preserve"> </w:t>
      </w:r>
      <w:r>
        <w:t xml:space="preserve">With the stock still trading well off its March highs but up sharply over the past year, and sell-side targets/ratings dispersed, the market's reaction may hinge as much on forward commentary (deal pipeline, desalination ramp, oil price outlook) as on the reported quarter itself.</w:t>
      </w:r>
    </w:p>
    <w:bookmarkEnd w:id="15"/>
    <w:bookmarkStart w:id="16" w:name="X59a56c4de27670f2623d3582f339eb306b624b0"/>
    <w:p>
      <w:pPr>
        <w:pStyle w:val="Heading2"/>
      </w:pPr>
      <w:r>
        <w:t xml:space="preserve">8. Bottom Line</w:t>
      </w:r>
    </w:p>
    <w:p>
      <w:pPr>
        <w:pStyle w:val="FirstParagraph"/>
      </w:pPr>
      <w:r>
        <w:t xml:space="preserve">TPL heads into Q2 2026 earnings with strong underlying momentum — record production, a diversified and largely fee-based/royalty revenue base, a fortress balance sheet, and a call option on West Texas becoming a hub for gas-fired power and AI/data-center development (now evidenced by both a smaller developer deal and the higher-profile Chevron "Project Kilby" agreement). The macro setup (an unhedged royalty owner riding a volatile, geopolitically-driven oil market) argues for a likely YoY earnings beat, consistent with consensus expectations of roughly 27% EPS growth, but the stock's outsized 12-month move means the bar for a positive reaction may be less about the trailing numbers and more about (1) confidence that elevated commodity prices/volumes persist, (2) tangible progress and monetization detail on the data-center/power pipeline, and (3) early read-through from the newly operational desalination facility.</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2026-08-05T01:53:56Z</dcterms:created>
  <dcterms:modified xsi:type="dcterms:W3CDTF">2026-08-05T01:53:56Z</dcterms:modified>
</cp:coreProperties>
</file>

<file path=docProps/custom.xml><?xml version="1.0" encoding="utf-8"?>
<Properties xmlns="http://schemas.openxmlformats.org/officeDocument/2006/custom-properties" xmlns:vt="http://schemas.openxmlformats.org/officeDocument/2006/docPropsVTypes"/>
</file>