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tpl-q2-2026-earnings-preview"/>
    <w:p>
      <w:pPr>
        <w:pStyle w:val="Heading1"/>
      </w:pPr>
      <w:r>
        <w:t xml:space="preserve">TPL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Wednesday, August 5, 2026</w:t>
      </w:r>
      <w:r>
        <w:t xml:space="preserve">. TPL is scheduled to release Q2 results</w:t>
      </w:r>
      <w:r>
        <w:t xml:space="preserve"> </w:t>
      </w:r>
      <w:r>
        <w:rPr>
          <w:b/>
          <w:bCs/>
        </w:rPr>
        <w:t xml:space="preserve">after today’s market close</w:t>
      </w:r>
      <w:r>
        <w:t xml:space="preserve">, followed by its earnings call on</w:t>
      </w:r>
      <w:r>
        <w:t xml:space="preserve"> </w:t>
      </w:r>
      <w:r>
        <w:rPr>
          <w:b/>
          <w:bCs/>
        </w:rPr>
        <w:t xml:space="preserve">Thursday, August 6 at 10:30 a.m. ET</w:t>
      </w:r>
      <w:r>
        <w:t xml:space="preserve">. (</w:t>
      </w:r>
      <w:hyperlink r:id="rId9">
        <w:r>
          <w:rPr>
            <w:rStyle w:val="Hyperlink"/>
          </w:rPr>
          <w:t xml:space="preserve">texaspacific.com</w:t>
        </w:r>
      </w:hyperlink>
      <w:r>
        <w:t xml:space="preserve">)</w:t>
      </w:r>
    </w:p>
    <w:bookmarkStart w:id="11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This quarter should be unusually favorable for Texas Pacific Land’s core royalty business. TPL entered Q2 with strong production, no commodity hedges and meaningful exposure to an oil-price surge: average WTI increased from</w:t>
      </w:r>
      <w:r>
        <w:t xml:space="preserve"> </w:t>
      </w:r>
      <w:r>
        <w:rPr>
          <w:b/>
          <w:bCs/>
        </w:rPr>
        <w:t xml:space="preserve">$72.74 in Q1 to $95.48 in Q2</w:t>
      </w:r>
      <w:r>
        <w:t xml:space="preserve">. (</w:t>
      </w:r>
      <w:hyperlink r:id="rId10">
        <w:r>
          <w:rPr>
            <w:rStyle w:val="Hyperlink"/>
          </w:rPr>
          <w:t xml:space="preserve">eia.gov</w:t>
        </w:r>
      </w:hyperlink>
      <w:r>
        <w:t xml:space="preserve">)</w:t>
      </w:r>
    </w:p>
    <w:p>
      <w:pPr>
        <w:pStyle w:val="BodyText"/>
      </w:pPr>
      <w:r>
        <w:t xml:space="preserve">The more important question, however, is whether TPL can show progress beyond commodity prices. Its premium valuation increasingly reflects expectations that its surface and water assets can also monetize:</w:t>
      </w:r>
    </w:p>
    <w:p>
      <w:pPr>
        <w:pStyle w:val="Compact"/>
        <w:numPr>
          <w:ilvl w:val="0"/>
          <w:numId w:val="1001"/>
        </w:numPr>
      </w:pPr>
      <w:r>
        <w:t xml:space="preserve">Large-scale data centers and behind-the-meter power generation</w:t>
      </w:r>
    </w:p>
    <w:p>
      <w:pPr>
        <w:pStyle w:val="Compact"/>
        <w:numPr>
          <w:ilvl w:val="0"/>
          <w:numId w:val="1001"/>
        </w:numPr>
      </w:pPr>
      <w:r>
        <w:t xml:space="preserve">The Chevron</w:t>
      </w:r>
      <w:r>
        <w:t xml:space="preserve"> </w:t>
      </w:r>
      <w:r>
        <w:rPr>
          <w:b/>
          <w:bCs/>
        </w:rPr>
        <w:t xml:space="preserve">Project Kilby</w:t>
      </w:r>
      <w:r>
        <w:t xml:space="preserve"> </w:t>
      </w:r>
      <w:r>
        <w:t xml:space="preserve">agreement</w:t>
      </w:r>
    </w:p>
    <w:p>
      <w:pPr>
        <w:pStyle w:val="Compact"/>
        <w:numPr>
          <w:ilvl w:val="0"/>
          <w:numId w:val="1001"/>
        </w:numPr>
      </w:pPr>
      <w:r>
        <w:t xml:space="preserve">Produced-water desalination</w:t>
      </w:r>
    </w:p>
    <w:p>
      <w:pPr>
        <w:pStyle w:val="Compact"/>
        <w:numPr>
          <w:ilvl w:val="0"/>
          <w:numId w:val="1001"/>
        </w:numPr>
      </w:pPr>
      <w:r>
        <w:t xml:space="preserve">Continued growth in produced-water royalties</w:t>
      </w:r>
    </w:p>
    <w:p>
      <w:pPr>
        <w:pStyle w:val="FirstParagraph"/>
      </w:pPr>
      <w:r>
        <w:t xml:space="preserve">Accordingly, a clean earnings beat may not be enough. Investors will likely focus on production durability, water volumes and evidence that these newer opportunities are moving toward recurring cash flow.</w:t>
      </w:r>
    </w:p>
    <w:bookmarkEnd w:id="11"/>
    <w:bookmarkStart w:id="13" w:name="published-expectations"/>
    <w:p>
      <w:pPr>
        <w:pStyle w:val="Heading2"/>
      </w:pPr>
      <w:r>
        <w:t xml:space="preserve">Published expectations</w:t>
      </w:r>
    </w:p>
    <w:p>
      <w:pPr>
        <w:pStyle w:val="FirstParagraph"/>
      </w:pPr>
      <w:r>
        <w:t xml:space="preserve">Consensus is thin and varies by data provider: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Published expectations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243</m:t>
              </m:r>
              <m:r>
                <m:t>m</m:t>
              </m:r>
              <m:r>
                <m:t>i</m:t>
              </m:r>
              <m:r>
                <m:t>l</m:t>
              </m:r>
              <m:r>
                <m:t>l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253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2.14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2025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$187.5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Split-adjusted Q2 2025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$1.68</w:t>
            </w:r>
          </w:p>
        </w:tc>
      </w:tr>
    </w:tbl>
    <w:p>
      <w:pPr>
        <w:pStyle w:val="BodyText"/>
      </w:pPr>
      <w:r>
        <w:t xml:space="preserve">Barchart shows only</w:t>
      </w:r>
      <w:r>
        <w:t xml:space="preserve"> </w:t>
      </w:r>
      <w:r>
        <w:rPr>
          <w:b/>
          <w:bCs/>
        </w:rPr>
        <w:t xml:space="preserve">one contributing estimate</w:t>
      </w:r>
      <w:r>
        <w:t xml:space="preserve">, reinforcing that the “consensus” is not especially robust. Its estimate is $2.14 per share, while other services show revenue around $243 million to $252.5 million and EPS as high as $2.25. (</w:t>
      </w:r>
      <w:hyperlink r:id="rId12">
        <w:r>
          <w:rPr>
            <w:rStyle w:val="Hyperlink"/>
          </w:rPr>
          <w:t xml:space="preserve">benzinga.com</w:t>
        </w:r>
      </w:hyperlink>
      <w:r>
        <w:t xml:space="preserve">)</w:t>
      </w:r>
    </w:p>
    <w:bookmarkEnd w:id="13"/>
    <w:bookmarkStart w:id="22" w:name="what-matters-most"/>
    <w:p>
      <w:pPr>
        <w:pStyle w:val="Heading2"/>
      </w:pPr>
      <w:r>
        <w:t xml:space="preserve">What matters most</w:t>
      </w:r>
    </w:p>
    <w:bookmarkStart w:id="15" w:name="Xa4148cb911f29da65c5188104172b853be3ac21"/>
    <w:p>
      <w:pPr>
        <w:pStyle w:val="Heading3"/>
      </w:pPr>
      <w:r>
        <w:t xml:space="preserve">1. Oil and gas royalty revenue should be the principal earnings driver</w:t>
      </w:r>
    </w:p>
    <w:p>
      <w:pPr>
        <w:pStyle w:val="FirstParagraph"/>
      </w:pPr>
      <w:r>
        <w:t xml:space="preserve">TPL produced</w:t>
      </w:r>
      <w:r>
        <w:t xml:space="preserve"> </w:t>
      </w:r>
      <w:r>
        <w:rPr>
          <w:b/>
          <w:bCs/>
        </w:rPr>
        <w:t xml:space="preserve">37.1 thousand Boe per day</w:t>
      </w:r>
      <w:r>
        <w:t xml:space="preserve"> </w:t>
      </w:r>
      <w:r>
        <w:t xml:space="preserve">in Q1, up 19% year over year, with oil and gas royalty revenue of $118.2 million. Q1’s realized oil price was $70.57 per barrel. (</w:t>
      </w:r>
      <w:hyperlink r:id="rId14">
        <w:r>
          <w:rPr>
            <w:rStyle w:val="Hyperlink"/>
          </w:rPr>
          <w:t xml:space="preserve">texaspacific.com</w:t>
        </w:r>
      </w:hyperlink>
      <w:r>
        <w:t xml:space="preserve">)</w:t>
      </w:r>
    </w:p>
    <w:p>
      <w:pPr>
        <w:pStyle w:val="BodyText"/>
      </w:pPr>
      <w:r>
        <w:t xml:space="preserve">Given the sharp increase in Q2 benchmark oil prices, royalty revenue should rise materially if production remained near Q1 levels. TPL previously indicated that, using 2025 volumes as a guide, every</w:t>
      </w:r>
      <w:r>
        <w:t xml:space="preserve"> </w:t>
      </w:r>
      <m:oMath>
        <m:r>
          <m:t>10</m:t>
        </m:r>
        <m:r>
          <m:rPr>
            <m:sty m:val="p"/>
          </m:rPr>
          <m:t>−</m:t>
        </m:r>
        <m:r>
          <m:t>p</m:t>
        </m:r>
        <m:r>
          <m:t>e</m:t>
        </m:r>
        <m:r>
          <m:t>r</m:t>
        </m:r>
        <m:r>
          <m:rPr>
            <m:sty m:val="p"/>
          </m:rPr>
          <m:t>−</m:t>
        </m:r>
        <m:r>
          <m:t>b</m:t>
        </m:r>
        <m:r>
          <m:t>a</m:t>
        </m:r>
        <m:r>
          <m:t>r</m:t>
        </m:r>
        <m:r>
          <m:t>r</m:t>
        </m:r>
        <m:r>
          <m:t>e</m:t>
        </m:r>
        <m:r>
          <m:t>l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i</m:t>
        </m:r>
        <m:r>
          <m:t>n</m:t>
        </m:r>
        <m:r>
          <m:t>o</m:t>
        </m:r>
        <m:r>
          <m:t>i</m:t>
        </m:r>
        <m:r>
          <m:t>l</m:t>
        </m:r>
        <m:r>
          <m:t>r</m:t>
        </m:r>
        <m:r>
          <m:t>e</m:t>
        </m:r>
        <m:r>
          <m:t>a</m:t>
        </m:r>
        <m:r>
          <m:t>l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a</m:t>
        </m:r>
        <m:r>
          <m:t>d</m:t>
        </m:r>
        <m:r>
          <m:t>d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50 million of annual revenue**, or approximately $12.5 million per quarter before considering volume changes.</w:t>
      </w:r>
    </w:p>
    <w:p>
      <w:pPr>
        <w:pStyle w:val="BodyText"/>
      </w:pPr>
      <w:r>
        <w:t xml:space="preserve">The key disclosures will be: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Total production:</w:t>
      </w:r>
      <w:r>
        <w:t xml:space="preserve"> </w:t>
      </w:r>
      <w:r>
        <w:t xml:space="preserve">Can TPL sustain roughly 37,000 Boe/d?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Oil production:</w:t>
      </w:r>
      <w:r>
        <w:t xml:space="preserve"> </w:t>
      </w:r>
      <w:r>
        <w:t xml:space="preserve">Oil contributes substantially more economically than gas-equivalent volumes.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Realized oil price:</w:t>
      </w:r>
      <w:r>
        <w:t xml:space="preserve"> </w:t>
      </w:r>
      <w:r>
        <w:t xml:space="preserve">Timing, quality and location differentials may prevent TPL from capturing the full benchmark increase.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Line-of-sight wells:</w:t>
      </w:r>
      <w:r>
        <w:t xml:space="preserve"> </w:t>
      </w:r>
      <w:r>
        <w:t xml:space="preserve">Q1 ended with 20.7 net permits, DUCs and completed-but-not-producing wells.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Longer laterals:</w:t>
      </w:r>
      <w:r>
        <w:t xml:space="preserve"> </w:t>
      </w:r>
      <w:r>
        <w:t xml:space="preserve">Newly permitted and drilled wells were averaging more than 13,000 feet, which can improve TPL’s normalized royalty exposure.</w:t>
      </w:r>
    </w:p>
    <w:p>
      <w:pPr>
        <w:pStyle w:val="FirstParagraph"/>
      </w:pPr>
      <w:r>
        <w:t xml:space="preserve">A production result materially below Q1 could dilute the benefit from higher prices. Conversely, stable-to-higher production paired with Q2 pricing would create a strong royalty-revenue quarter.</w:t>
      </w:r>
    </w:p>
    <w:bookmarkEnd w:id="15"/>
    <w:bookmarkStart w:id="16" w:name="Xb98ae6f14ee2f80a6bd73e6877b0c42a3a3965e"/>
    <w:p>
      <w:pPr>
        <w:pStyle w:val="Heading3"/>
      </w:pPr>
      <w:r>
        <w:t xml:space="preserve">2. Sequential comparisons require care because Q1 included a land sale</w:t>
      </w:r>
    </w:p>
    <w:p>
      <w:pPr>
        <w:pStyle w:val="FirstParagraph"/>
      </w:pPr>
      <w:r>
        <w:t xml:space="preserve">Q1 revenue of</w:t>
      </w:r>
      <w:r>
        <w:t xml:space="preserve"> </w:t>
      </w:r>
      <m:oMath>
        <m:r>
          <m:t>236.8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20.9 million of noncash land-sale revenue** associated with a $42.5 million, 20-year financing arrangement for a power and data-center project. TPL excluded that $20.9 million when calculating adjusted EBITDA and free cash flow. (</w:t>
      </w:r>
      <w:hyperlink r:id="rId14">
        <w:r>
          <w:rPr>
            <w:rStyle w:val="Hyperlink"/>
          </w:rPr>
          <w:t xml:space="preserve">texaspacific.com</w:t>
        </w:r>
      </w:hyperlink>
      <w:r>
        <w:t xml:space="preserve">)</w:t>
      </w:r>
    </w:p>
    <w:p>
      <w:pPr>
        <w:pStyle w:val="BodyText"/>
      </w:pPr>
      <w:r>
        <w:t xml:space="preserve">Therefore:</w:t>
      </w:r>
    </w:p>
    <w:p>
      <w:pPr>
        <w:pStyle w:val="Compact"/>
        <w:numPr>
          <w:ilvl w:val="0"/>
          <w:numId w:val="1003"/>
        </w:numPr>
      </w:pPr>
      <w:r>
        <w:t xml:space="preserve">Reported Q2 revenue must overcome a $20.9 million sequential headwind from the absence of that transaction.</w:t>
      </w:r>
    </w:p>
    <w:p>
      <w:pPr>
        <w:pStyle w:val="Compact"/>
        <w:numPr>
          <w:ilvl w:val="0"/>
          <w:numId w:val="1003"/>
        </w:numPr>
      </w:pPr>
      <w:r>
        <w:t xml:space="preserve">Adjusted EBITDA and free cash flow provide a cleaner view of underlying sequential performance.</w:t>
      </w:r>
    </w:p>
    <w:p>
      <w:pPr>
        <w:pStyle w:val="Compact"/>
        <w:numPr>
          <w:ilvl w:val="0"/>
          <w:numId w:val="1003"/>
        </w:numPr>
      </w:pPr>
      <w:r>
        <w:t xml:space="preserve">A modest revenue increase over Q1 would actually represent strong core-business growth if no comparable land sale occurs.</w:t>
      </w:r>
    </w:p>
    <w:p>
      <w:pPr>
        <w:pStyle w:val="FirstParagraph"/>
      </w:pPr>
      <w:r>
        <w:t xml:space="preserve">Investors should also watch for any additional land transactions or accounting recognition related to power projects. These can make GAAP revenue and EPS unusually lumpy without producing equivalent near-term cash.</w:t>
      </w:r>
    </w:p>
    <w:bookmarkEnd w:id="16"/>
    <w:bookmarkStart w:id="18" w:name="X12bf580df92a32ba54706096bffeff96b3b39d2"/>
    <w:p>
      <w:pPr>
        <w:pStyle w:val="Heading3"/>
      </w:pPr>
      <w:r>
        <w:t xml:space="preserve">3. Water sales need to rebound—or at least stabilize</w:t>
      </w:r>
    </w:p>
    <w:p>
      <w:pPr>
        <w:pStyle w:val="FirstParagraph"/>
      </w:pPr>
      <w:r>
        <w:t xml:space="preserve">Q1 water-sales volume was</w:t>
      </w:r>
      <w:r>
        <w:t xml:space="preserve"> </w:t>
      </w:r>
      <w:r>
        <w:rPr>
          <w:b/>
          <w:bCs/>
        </w:rPr>
        <w:t xml:space="preserve">819,000 barrels per day</w:t>
      </w:r>
      <w:r>
        <w:t xml:space="preserve">, down from 1.0 million barrels per day in Q4. Water-sales revenue declined sequentially to $46.9 million because both volume and pricing fell. Meanwhile, produced-water royalty revenue held at $33.5 million on 4.6 million barrels per day.</w:t>
      </w:r>
    </w:p>
    <w:p>
      <w:pPr>
        <w:pStyle w:val="BodyText"/>
      </w:pPr>
      <w:r>
        <w:t xml:space="preserve">For Q2, watch:</w:t>
      </w:r>
    </w:p>
    <w:p>
      <w:pPr>
        <w:pStyle w:val="Compact"/>
        <w:numPr>
          <w:ilvl w:val="0"/>
          <w:numId w:val="1004"/>
        </w:numPr>
      </w:pPr>
      <w:r>
        <w:t xml:space="preserve">Water-sales volume and realized revenue per barrel</w:t>
      </w:r>
    </w:p>
    <w:p>
      <w:pPr>
        <w:pStyle w:val="Compact"/>
        <w:numPr>
          <w:ilvl w:val="0"/>
          <w:numId w:val="1004"/>
        </w:numPr>
      </w:pPr>
      <w:r>
        <w:t xml:space="preserve">Water service-related expenses and segment margins</w:t>
      </w:r>
    </w:p>
    <w:p>
      <w:pPr>
        <w:pStyle w:val="Compact"/>
        <w:numPr>
          <w:ilvl w:val="0"/>
          <w:numId w:val="1004"/>
        </w:numPr>
      </w:pPr>
      <w:r>
        <w:t xml:space="preserve">Produced-water royalty volumes versus the Q1 level</w:t>
      </w:r>
    </w:p>
    <w:p>
      <w:pPr>
        <w:pStyle w:val="Compact"/>
        <w:numPr>
          <w:ilvl w:val="0"/>
          <w:numId w:val="1004"/>
        </w:numPr>
      </w:pPr>
      <w:r>
        <w:t xml:space="preserve">Whether operator completion activity improved as higher oil prices persisted</w:t>
      </w:r>
    </w:p>
    <w:p>
      <w:pPr>
        <w:pStyle w:val="Compact"/>
        <w:numPr>
          <w:ilvl w:val="0"/>
          <w:numId w:val="1004"/>
        </w:numPr>
      </w:pPr>
      <w:r>
        <w:t xml:space="preserve">Management’s comments on recycling versus disposal behavior</w:t>
      </w:r>
    </w:p>
    <w:p>
      <w:pPr>
        <w:pStyle w:val="FirstParagraph"/>
      </w:pPr>
      <w:r>
        <w:t xml:space="preserve">Produced-water royalties are particularly valuable because they require no direct operating expenses or capital expenditures. TPL’s May presentation described this revenue as essentially a 100%-margin stream. (</w:t>
      </w:r>
      <w:hyperlink r:id="rId17">
        <w:r>
          <w:rPr>
            <w:rStyle w:val="Hyperlink"/>
          </w:rPr>
          <w:t xml:space="preserve">texaspacific.com</w:t>
        </w:r>
      </w:hyperlink>
      <w:r>
        <w:t xml:space="preserve">)</w:t>
      </w:r>
    </w:p>
    <w:p>
      <w:pPr>
        <w:pStyle w:val="BodyText"/>
      </w:pPr>
      <w:r>
        <w:t xml:space="preserve">A strong report would combine higher royalty revenue with produced-water growth and improving water sales. A report driven exclusively by oil prices would be less convincing.</w:t>
      </w:r>
    </w:p>
    <w:bookmarkEnd w:id="18"/>
    <w:bookmarkStart w:id="20" w:name="Xe44a556fdaa101222c306c22c5154af450bcdc6"/>
    <w:p>
      <w:pPr>
        <w:pStyle w:val="Heading3"/>
      </w:pPr>
      <w:r>
        <w:t xml:space="preserve">4. The Chevron agreement is the quarter’s most important strategic development</w:t>
      </w:r>
    </w:p>
    <w:p>
      <w:pPr>
        <w:pStyle w:val="FirstParagraph"/>
      </w:pPr>
      <w:r>
        <w:t xml:space="preserve">On June 23, TPL announced an agreement to contribute land and provide brackish water for Chevron’s</w:t>
      </w:r>
      <w:r>
        <w:t xml:space="preserve"> </w:t>
      </w:r>
      <w:r>
        <w:rPr>
          <w:b/>
          <w:bCs/>
        </w:rPr>
        <w:t xml:space="preserve">Project Kilby</w:t>
      </w:r>
      <w:r>
        <w:t xml:space="preserve">, a large-scale power facility supporting a customer data center in Reeves County. TPL received cash consideration for the surface acreage and retained exclusive rights to source aquifer-derived water for the facility and associated development. (</w:t>
      </w:r>
      <w:hyperlink r:id="rId19">
        <w:r>
          <w:rPr>
            <w:rStyle w:val="Hyperlink"/>
          </w:rPr>
          <w:t xml:space="preserve">texaspacific.com</w:t>
        </w:r>
      </w:hyperlink>
      <w:r>
        <w:t xml:space="preserve">)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5"/>
        </w:numPr>
      </w:pPr>
      <w:r>
        <w:t xml:space="preserve">Size and timing of the land consideration</w:t>
      </w:r>
    </w:p>
    <w:p>
      <w:pPr>
        <w:pStyle w:val="Compact"/>
        <w:numPr>
          <w:ilvl w:val="0"/>
          <w:numId w:val="1005"/>
        </w:numPr>
      </w:pPr>
      <w:r>
        <w:t xml:space="preserve">Expected construction milestones</w:t>
      </w:r>
    </w:p>
    <w:p>
      <w:pPr>
        <w:pStyle w:val="Compact"/>
        <w:numPr>
          <w:ilvl w:val="0"/>
          <w:numId w:val="1005"/>
        </w:numPr>
      </w:pPr>
      <w:r>
        <w:t xml:space="preserve">Potential water volumes and contract duration</w:t>
      </w:r>
    </w:p>
    <w:p>
      <w:pPr>
        <w:pStyle w:val="Compact"/>
        <w:numPr>
          <w:ilvl w:val="0"/>
          <w:numId w:val="1005"/>
        </w:numPr>
      </w:pPr>
      <w:r>
        <w:t xml:space="preserve">Whether revenue includes minimum commitments or is entirely usage-based</w:t>
      </w:r>
    </w:p>
    <w:p>
      <w:pPr>
        <w:pStyle w:val="Compact"/>
        <w:numPr>
          <w:ilvl w:val="0"/>
          <w:numId w:val="1005"/>
        </w:numPr>
      </w:pPr>
      <w:r>
        <w:t xml:space="preserve">The identity or timing of the data-center customer, if disclosure is permitted</w:t>
      </w:r>
    </w:p>
    <w:p>
      <w:pPr>
        <w:pStyle w:val="Compact"/>
        <w:numPr>
          <w:ilvl w:val="0"/>
          <w:numId w:val="1005"/>
        </w:numPr>
      </w:pPr>
      <w:r>
        <w:t xml:space="preserve">Opportunities for aggregates, easements and additional infrastructure revenue</w:t>
      </w:r>
    </w:p>
    <w:p>
      <w:pPr>
        <w:pStyle w:val="Compact"/>
        <w:numPr>
          <w:ilvl w:val="0"/>
          <w:numId w:val="1005"/>
        </w:numPr>
      </w:pPr>
      <w:r>
        <w:t xml:space="preserve">Whether desalinated produced water could eventually supplement brackish water</w:t>
      </w:r>
    </w:p>
    <w:p>
      <w:pPr>
        <w:pStyle w:val="FirstParagraph"/>
      </w:pPr>
      <w:r>
        <w:t xml:space="preserve">The announcement validates the strategic thesis, but the economics remain largely undisclosed. Clearer commercial parameters would probably matter more to the stock than a small EPS beat.</w:t>
      </w:r>
    </w:p>
    <w:bookmarkEnd w:id="20"/>
    <w:bookmarkStart w:id="21" w:name="Xe4d7a6251892bf9347dd887402f21ff677a59c0"/>
    <w:p>
      <w:pPr>
        <w:pStyle w:val="Heading3"/>
      </w:pPr>
      <w:r>
        <w:t xml:space="preserve">5. The desalination facility needs to move from commissioning to measurable results</w:t>
      </w:r>
    </w:p>
    <w:p>
      <w:pPr>
        <w:pStyle w:val="FirstParagraph"/>
      </w:pPr>
      <w:r>
        <w:t xml:space="preserve">TPL’s 10,000-barrel-per-day Phase 2B produced-water desalination facility was scheduled to begin operations in May. The facility is designed to test operating reliability, water quality and unit economics before a possible 100,000-barrel-per-day commercial facility. (</w:t>
      </w:r>
      <w:hyperlink r:id="rId17">
        <w:r>
          <w:rPr>
            <w:rStyle w:val="Hyperlink"/>
          </w:rPr>
          <w:t xml:space="preserve">texaspacific.com</w:t>
        </w:r>
      </w:hyperlink>
      <w:r>
        <w:t xml:space="preserve">)</w:t>
      </w:r>
    </w:p>
    <w:p>
      <w:pPr>
        <w:pStyle w:val="BodyText"/>
      </w:pPr>
      <w:r>
        <w:t xml:space="preserve">The most useful update would address:</w:t>
      </w:r>
    </w:p>
    <w:p>
      <w:pPr>
        <w:pStyle w:val="Compact"/>
        <w:numPr>
          <w:ilvl w:val="0"/>
          <w:numId w:val="1006"/>
        </w:numPr>
      </w:pPr>
      <w:r>
        <w:t xml:space="preserve">Whether inlet water is flowing continuously</w:t>
      </w:r>
    </w:p>
    <w:p>
      <w:pPr>
        <w:pStyle w:val="Compact"/>
        <w:numPr>
          <w:ilvl w:val="0"/>
          <w:numId w:val="1006"/>
        </w:numPr>
      </w:pPr>
      <w:r>
        <w:t xml:space="preserve">Achieved throughput relative to 10,000 barrels per day</w:t>
      </w:r>
    </w:p>
    <w:p>
      <w:pPr>
        <w:pStyle w:val="Compact"/>
        <w:numPr>
          <w:ilvl w:val="0"/>
          <w:numId w:val="1006"/>
        </w:numPr>
      </w:pPr>
      <w:r>
        <w:t xml:space="preserve">Energy consumption and estimated treatment cost per barrel</w:t>
      </w:r>
    </w:p>
    <w:p>
      <w:pPr>
        <w:pStyle w:val="Compact"/>
        <w:numPr>
          <w:ilvl w:val="0"/>
          <w:numId w:val="1006"/>
        </w:numPr>
      </w:pPr>
      <w:r>
        <w:t xml:space="preserve">Freshwater recovery rate and remaining brine volume</w:t>
      </w:r>
    </w:p>
    <w:p>
      <w:pPr>
        <w:pStyle w:val="Compact"/>
        <w:numPr>
          <w:ilvl w:val="0"/>
          <w:numId w:val="1006"/>
        </w:numPr>
      </w:pPr>
      <w:r>
        <w:t xml:space="preserve">Water quality for discharge, cooling and industrial applications</w:t>
      </w:r>
    </w:p>
    <w:p>
      <w:pPr>
        <w:pStyle w:val="Compact"/>
        <w:numPr>
          <w:ilvl w:val="0"/>
          <w:numId w:val="1006"/>
        </w:numPr>
      </w:pPr>
      <w:r>
        <w:t xml:space="preserve">Potential partners and commercialization structures</w:t>
      </w:r>
    </w:p>
    <w:p>
      <w:pPr>
        <w:pStyle w:val="Compact"/>
        <w:numPr>
          <w:ilvl w:val="0"/>
          <w:numId w:val="1006"/>
        </w:numPr>
      </w:pPr>
      <w:r>
        <w:t xml:space="preserve">Timing of a Phase 3 investment decision</w:t>
      </w:r>
    </w:p>
    <w:p>
      <w:pPr>
        <w:pStyle w:val="FirstParagraph"/>
      </w:pPr>
      <w:r>
        <w:t xml:space="preserve">TPL has discussed licensing, joint ventures, cost-plus operations and a potential separate entity as commercialization options. The market is unlikely to assign full value without evidence that the process can operate reliably and economically at scale.</w:t>
      </w:r>
    </w:p>
    <w:bookmarkEnd w:id="21"/>
    <w:bookmarkEnd w:id="22"/>
    <w:bookmarkStart w:id="24" w:name="valuation-and-stock-setup"/>
    <w:p>
      <w:pPr>
        <w:pStyle w:val="Heading2"/>
      </w:pPr>
      <w:r>
        <w:t xml:space="preserve">Valuation and stock setup</w:t>
      </w:r>
    </w:p>
    <w:p>
      <w:pPr>
        <w:pStyle w:val="FirstParagraph"/>
      </w:pPr>
      <w:r>
        <w:t xml:space="preserve">TPL recently traded around $396, implying a market capitalization near $27 billion. The shares are approximately</w:t>
      </w:r>
      <w:r>
        <w:t xml:space="preserve"> </w:t>
      </w:r>
      <w:r>
        <w:rPr>
          <w:b/>
          <w:bCs/>
        </w:rPr>
        <w:t xml:space="preserve">38% above year-end 2025</w:t>
      </w:r>
      <w:r>
        <w:t xml:space="preserve">, but roughly</w:t>
      </w:r>
      <w:r>
        <w:t xml:space="preserve"> </w:t>
      </w:r>
      <w:r>
        <w:rPr>
          <w:b/>
          <w:bCs/>
        </w:rPr>
        <w:t xml:space="preserve">26% below their March high</w:t>
      </w:r>
      <w:r>
        <w:t xml:space="preserve">. At the published 2026 EPS estimate of $8.88, the stock trades at approximately</w:t>
      </w:r>
      <w:r>
        <w:t xml:space="preserve"> </w:t>
      </w:r>
      <w:r>
        <w:rPr>
          <w:b/>
          <w:bCs/>
        </w:rPr>
        <w:t xml:space="preserve">44 times forward earnings</w:t>
      </w:r>
      <w:r>
        <w:t xml:space="preserve">. (</w:t>
      </w:r>
      <w:hyperlink r:id="rId23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That valuation leaves limited room for a merely “good” quarter. It reflects:</w:t>
      </w:r>
    </w:p>
    <w:p>
      <w:pPr>
        <w:pStyle w:val="Compact"/>
        <w:numPr>
          <w:ilvl w:val="0"/>
          <w:numId w:val="1007"/>
        </w:numPr>
      </w:pPr>
      <w:r>
        <w:t xml:space="preserve">TPL’s capital-light royalty model</w:t>
      </w:r>
    </w:p>
    <w:p>
      <w:pPr>
        <w:pStyle w:val="Compact"/>
        <w:numPr>
          <w:ilvl w:val="0"/>
          <w:numId w:val="1007"/>
        </w:numPr>
      </w:pPr>
      <w:r>
        <w:t xml:space="preserve">High incremental margins</w:t>
      </w:r>
    </w:p>
    <w:p>
      <w:pPr>
        <w:pStyle w:val="Compact"/>
        <w:numPr>
          <w:ilvl w:val="0"/>
          <w:numId w:val="1007"/>
        </w:numPr>
      </w:pPr>
      <w:r>
        <w:t xml:space="preserve">Long-duration Permian inventory</w:t>
      </w:r>
    </w:p>
    <w:p>
      <w:pPr>
        <w:pStyle w:val="Compact"/>
        <w:numPr>
          <w:ilvl w:val="0"/>
          <w:numId w:val="1007"/>
        </w:numPr>
      </w:pPr>
      <w:r>
        <w:t xml:space="preserve">Scarce surface and water assets</w:t>
      </w:r>
    </w:p>
    <w:p>
      <w:pPr>
        <w:pStyle w:val="Compact"/>
        <w:numPr>
          <w:ilvl w:val="0"/>
          <w:numId w:val="1007"/>
        </w:numPr>
      </w:pPr>
      <w:r>
        <w:t xml:space="preserve">Potential data-center and desalination optionality</w:t>
      </w:r>
    </w:p>
    <w:p>
      <w:pPr>
        <w:pStyle w:val="FirstParagraph"/>
      </w:pPr>
      <w:r>
        <w:t xml:space="preserve">It also means that qualitative execution can outweigh the headline earnings surprise.</w:t>
      </w:r>
    </w:p>
    <w:bookmarkEnd w:id="24"/>
    <w:bookmarkStart w:id="28" w:name="potential-reaction-framework"/>
    <w:p>
      <w:pPr>
        <w:pStyle w:val="Heading2"/>
      </w:pPr>
      <w:r>
        <w:t xml:space="preserve">Potential reaction framework</w:t>
      </w:r>
    </w:p>
    <w:bookmarkStart w:id="25" w:name="bullish-result"/>
    <w:p>
      <w:pPr>
        <w:pStyle w:val="Heading3"/>
      </w:pPr>
      <w:r>
        <w:t xml:space="preserve">Bullish result</w:t>
      </w:r>
    </w:p>
    <w:p>
      <w:pPr>
        <w:pStyle w:val="Compact"/>
        <w:numPr>
          <w:ilvl w:val="0"/>
          <w:numId w:val="1008"/>
        </w:numPr>
      </w:pPr>
      <w:r>
        <w:t xml:space="preserve">Production remains at or above roughly 37,000 Boe/d</w:t>
      </w:r>
    </w:p>
    <w:p>
      <w:pPr>
        <w:pStyle w:val="Compact"/>
        <w:numPr>
          <w:ilvl w:val="0"/>
          <w:numId w:val="1008"/>
        </w:numPr>
      </w:pPr>
      <w:r>
        <w:t xml:space="preserve">Realized oil prices capture most of the Q2 commodity uplift</w:t>
      </w:r>
    </w:p>
    <w:p>
      <w:pPr>
        <w:pStyle w:val="Compact"/>
        <w:numPr>
          <w:ilvl w:val="0"/>
          <w:numId w:val="1008"/>
        </w:numPr>
      </w:pPr>
      <w:r>
        <w:t xml:space="preserve">Water sales rebound and produced-water volumes set another record</w:t>
      </w:r>
    </w:p>
    <w:p>
      <w:pPr>
        <w:pStyle w:val="Compact"/>
        <w:numPr>
          <w:ilvl w:val="0"/>
          <w:numId w:val="1008"/>
        </w:numPr>
      </w:pPr>
      <w:r>
        <w:t xml:space="preserve">Line-of-sight well inventory remains healthy</w:t>
      </w:r>
    </w:p>
    <w:p>
      <w:pPr>
        <w:pStyle w:val="Compact"/>
        <w:numPr>
          <w:ilvl w:val="0"/>
          <w:numId w:val="1008"/>
        </w:numPr>
      </w:pPr>
      <w:r>
        <w:t xml:space="preserve">TPL provides useful Project Kilby economics or additional project milestones</w:t>
      </w:r>
    </w:p>
    <w:p>
      <w:pPr>
        <w:pStyle w:val="Compact"/>
        <w:numPr>
          <w:ilvl w:val="0"/>
          <w:numId w:val="1008"/>
        </w:numPr>
      </w:pPr>
      <w:r>
        <w:t xml:space="preserve">Phase 2B desalination is operating with encouraging preliminary economics</w:t>
      </w:r>
    </w:p>
    <w:p>
      <w:pPr>
        <w:pStyle w:val="Compact"/>
        <w:numPr>
          <w:ilvl w:val="0"/>
          <w:numId w:val="1008"/>
        </w:numPr>
      </w:pPr>
      <w:r>
        <w:t xml:space="preserve">Free cash flow materially exceeds Q1’s underlying level</w:t>
      </w:r>
    </w:p>
    <w:bookmarkEnd w:id="25"/>
    <w:bookmarkStart w:id="26" w:name="mixed-result"/>
    <w:p>
      <w:pPr>
        <w:pStyle w:val="Heading3"/>
      </w:pPr>
      <w:r>
        <w:t xml:space="preserve">Mixed result</w:t>
      </w:r>
    </w:p>
    <w:p>
      <w:pPr>
        <w:pStyle w:val="Compact"/>
        <w:numPr>
          <w:ilvl w:val="0"/>
          <w:numId w:val="1009"/>
        </w:numPr>
      </w:pPr>
      <w:r>
        <w:t xml:space="preserve">Revenue and EPS beat primarily because of oil prices</w:t>
      </w:r>
    </w:p>
    <w:p>
      <w:pPr>
        <w:pStyle w:val="Compact"/>
        <w:numPr>
          <w:ilvl w:val="0"/>
          <w:numId w:val="1009"/>
        </w:numPr>
      </w:pPr>
      <w:r>
        <w:t xml:space="preserve">Production is stable but water results are uneven</w:t>
      </w:r>
    </w:p>
    <w:p>
      <w:pPr>
        <w:pStyle w:val="Compact"/>
        <w:numPr>
          <w:ilvl w:val="0"/>
          <w:numId w:val="1009"/>
        </w:numPr>
      </w:pPr>
      <w:r>
        <w:t xml:space="preserve">Chevron and Bolt commentary remains positive but nonspecific</w:t>
      </w:r>
    </w:p>
    <w:p>
      <w:pPr>
        <w:pStyle w:val="Compact"/>
        <w:numPr>
          <w:ilvl w:val="0"/>
          <w:numId w:val="1009"/>
        </w:numPr>
      </w:pPr>
      <w:r>
        <w:t xml:space="preserve">Desalination is operating, but management cannot yet discuss costs</w:t>
      </w:r>
    </w:p>
    <w:p>
      <w:pPr>
        <w:pStyle w:val="Compact"/>
        <w:numPr>
          <w:ilvl w:val="0"/>
          <w:numId w:val="1009"/>
        </w:numPr>
      </w:pPr>
      <w:r>
        <w:t xml:space="preserve">No new power or data-center agreements are announced</w:t>
      </w:r>
    </w:p>
    <w:p>
      <w:pPr>
        <w:pStyle w:val="FirstParagraph"/>
      </w:pPr>
      <w:r>
        <w:t xml:space="preserve">This outcome could produce a muted reaction despite strong reported earnings.</w:t>
      </w:r>
    </w:p>
    <w:bookmarkEnd w:id="26"/>
    <w:bookmarkStart w:id="27" w:name="bearish-result"/>
    <w:p>
      <w:pPr>
        <w:pStyle w:val="Heading3"/>
      </w:pPr>
      <w:r>
        <w:t xml:space="preserve">Bearish result</w:t>
      </w:r>
    </w:p>
    <w:p>
      <w:pPr>
        <w:pStyle w:val="Compact"/>
        <w:numPr>
          <w:ilvl w:val="0"/>
          <w:numId w:val="1010"/>
        </w:numPr>
      </w:pPr>
      <w:r>
        <w:t xml:space="preserve">Production declines enough to offset part of the pricing benefit</w:t>
      </w:r>
    </w:p>
    <w:p>
      <w:pPr>
        <w:pStyle w:val="Compact"/>
        <w:numPr>
          <w:ilvl w:val="0"/>
          <w:numId w:val="1010"/>
        </w:numPr>
      </w:pPr>
      <w:r>
        <w:t xml:space="preserve">Water-sales volumes remain weak</w:t>
      </w:r>
    </w:p>
    <w:p>
      <w:pPr>
        <w:pStyle w:val="Compact"/>
        <w:numPr>
          <w:ilvl w:val="0"/>
          <w:numId w:val="1010"/>
        </w:numPr>
      </w:pPr>
      <w:r>
        <w:t xml:space="preserve">Produced-water royalty growth slows</w:t>
      </w:r>
    </w:p>
    <w:p>
      <w:pPr>
        <w:pStyle w:val="Compact"/>
        <w:numPr>
          <w:ilvl w:val="0"/>
          <w:numId w:val="1010"/>
        </w:numPr>
      </w:pPr>
      <w:r>
        <w:t xml:space="preserve">Surface-related revenue normalizes sharply</w:t>
      </w:r>
    </w:p>
    <w:p>
      <w:pPr>
        <w:pStyle w:val="Compact"/>
        <w:numPr>
          <w:ilvl w:val="0"/>
          <w:numId w:val="1010"/>
        </w:numPr>
      </w:pPr>
      <w:r>
        <w:t xml:space="preserve">Desalination commissioning is delayed or economics remain unclear</w:t>
      </w:r>
    </w:p>
    <w:p>
      <w:pPr>
        <w:pStyle w:val="Compact"/>
        <w:numPr>
          <w:ilvl w:val="0"/>
          <w:numId w:val="1010"/>
        </w:numPr>
      </w:pPr>
      <w:r>
        <w:t xml:space="preserve">Project Kilby produces limited near-term revenue with no additional commitments</w:t>
      </w:r>
    </w:p>
    <w:p>
      <w:pPr>
        <w:pStyle w:val="Compact"/>
        <w:numPr>
          <w:ilvl w:val="0"/>
          <w:numId w:val="1010"/>
        </w:numPr>
      </w:pPr>
      <w:r>
        <w:t xml:space="preserve">Spending rises without a corresponding improvement in free cash flow</w: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core quarter should be strong because Q2 oil prices were substantially higher and TPL is fully unhedged.</w:t>
      </w:r>
      <w:r>
        <w:t xml:space="preserve"> </w:t>
      </w:r>
      <w:r>
        <w:t xml:space="preserve">The difficult part is expectations: published estimates already imply significant year-over-year growth, and the stock carries a premium multiple.</w:t>
      </w:r>
    </w:p>
    <w:p>
      <w:pPr>
        <w:pStyle w:val="BodyText"/>
      </w:pPr>
      <w:r>
        <w:t xml:space="preserve">The three most important takeaways from the report should be: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Whether royalty production can hold near Q1’s record level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Whether water volumes are compounding alongside oil royalties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Whether Chevron, data centers and desalination are becoming measurable businesses rather than long-dated optionality</w:t>
      </w:r>
    </w:p>
    <w:p>
      <w:pPr>
        <w:pStyle w:val="FirstParagraph"/>
      </w:pPr>
      <w:r>
        <w:t xml:space="preserve">For the stock to respond decisively higher, TPL likely needs both strong core results and tangible strategic progress.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https://www.barchart.com/stocks/quotes/TPL/earnings-estimates" TargetMode="External" /><Relationship Type="http://schemas.openxmlformats.org/officeDocument/2006/relationships/hyperlink" Id="rId12" Target="https://www.benzinga.com/quote/TPL/earnings?utm_source=openai" TargetMode="External" /><Relationship Type="http://schemas.openxmlformats.org/officeDocument/2006/relationships/hyperlink" Id="rId10" Target="https://www.eia.gov/outlooks/steo/archives/jul26.pdf?utm_source=openai" TargetMode="External" /><Relationship Type="http://schemas.openxmlformats.org/officeDocument/2006/relationships/hyperlink" Id="rId14" Target="https://www.texaspacific.com/investors/news-events/press-releases/detail/184/texas-pacific-land-corporation-announces-first-quarter?utm_source=openai" TargetMode="External" /><Relationship Type="http://schemas.openxmlformats.org/officeDocument/2006/relationships/hyperlink" Id="rId9" Target="https://www.texaspacific.com/investors/news-events/press-releases/detail/186/texas-pacific-land-corporation-sets-dates-for-second" TargetMode="External" /><Relationship Type="http://schemas.openxmlformats.org/officeDocument/2006/relationships/hyperlink" Id="rId17" Target="https://www.texaspacific.com/investors/sec-filings/all-sec-filings/content/0001811074-26-000040/a991-tplmidlanddayinvest.htm?utm_source=openai" TargetMode="External" /><Relationship Type="http://schemas.openxmlformats.org/officeDocument/2006/relationships/hyperlink" Id="rId19" Target="https://www.texaspacific.com/investors/sec-filings/all-sec-filings/content/0001811074-26-000045/exhibit991tplannouncesag.htm?TB_iframe=true&amp;height=auto&amp;preload=false&amp;width=auto&amp;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www.barchart.com/stocks/quotes/TPL/earnings-estimates" TargetMode="External" /><Relationship Type="http://schemas.openxmlformats.org/officeDocument/2006/relationships/hyperlink" Id="rId12" Target="https://www.benzinga.com/quote/TPL/earnings?utm_source=openai" TargetMode="External" /><Relationship Type="http://schemas.openxmlformats.org/officeDocument/2006/relationships/hyperlink" Id="rId10" Target="https://www.eia.gov/outlooks/steo/archives/jul26.pdf?utm_source=openai" TargetMode="External" /><Relationship Type="http://schemas.openxmlformats.org/officeDocument/2006/relationships/hyperlink" Id="rId14" Target="https://www.texaspacific.com/investors/news-events/press-releases/detail/184/texas-pacific-land-corporation-announces-first-quarter?utm_source=openai" TargetMode="External" /><Relationship Type="http://schemas.openxmlformats.org/officeDocument/2006/relationships/hyperlink" Id="rId9" Target="https://www.texaspacific.com/investors/news-events/press-releases/detail/186/texas-pacific-land-corporation-sets-dates-for-second" TargetMode="External" /><Relationship Type="http://schemas.openxmlformats.org/officeDocument/2006/relationships/hyperlink" Id="rId17" Target="https://www.texaspacific.com/investors/sec-filings/all-sec-filings/content/0001811074-26-000040/a991-tplmidlanddayinvest.htm?utm_source=openai" TargetMode="External" /><Relationship Type="http://schemas.openxmlformats.org/officeDocument/2006/relationships/hyperlink" Id="rId19" Target="https://www.texaspacific.com/investors/sec-filings/all-sec-filings/content/0001811074-26-000045/exhibit991tplannouncesag.htm?TB_iframe=true&amp;height=auto&amp;preload=false&amp;width=auto&amp;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2026-08-05T01:46:44Z</dcterms:created>
  <dcterms:modified xsi:type="dcterms:W3CDTF">2026-08-05T01:46:44Z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