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tpl-q2-2026-earnings-preview"/>
    <w:p>
      <w:pPr>
        <w:pStyle w:val="Heading1"/>
      </w:pPr>
      <w:r>
        <w:t xml:space="preserve">TPL Q2 2026 Earnings Preview</w:t>
      </w:r>
    </w:p>
    <w:p>
      <w:pPr>
        <w:pStyle w:val="BlockText"/>
      </w:pPr>
      <w:r>
        <w:rPr>
          <w:b/>
          <w:bCs/>
        </w:rPr>
        <w:t xml:space="preserve">Timing clarification:</w:t>
      </w:r>
      <w:r>
        <w:t xml:space="preserve"> </w:t>
      </w:r>
      <w:r>
        <w:t xml:space="preserve">TPL is scheduled to release</w:t>
      </w:r>
      <w:r>
        <w:t xml:space="preserve"> </w:t>
      </w:r>
      <w:r>
        <w:rPr>
          <w:b/>
          <w:bCs/>
        </w:rPr>
        <w:t xml:space="preserve">second-quarter 2026 results after the market closes today, Wednesday, August 5, 2026</w:t>
      </w:r>
      <w:r>
        <w:t xml:space="preserve">. The earnings call is</w:t>
      </w:r>
      <w:r>
        <w:t xml:space="preserve"> </w:t>
      </w:r>
      <w:r>
        <w:rPr>
          <w:b/>
          <w:bCs/>
        </w:rPr>
        <w:t xml:space="preserve">Thursday, August 6 at 10:30 a.m. ET</w:t>
      </w:r>
      <w:r>
        <w:t xml:space="preserve">—not August 5.</w:t>
      </w:r>
    </w:p>
    <w:bookmarkStart w:id="9" w:name="X4e0a42f90d7dca0a78c2964afba4f980dc8eaae"/>
    <w:p>
      <w:pPr>
        <w:pStyle w:val="Heading2"/>
      </w:pPr>
      <w:r>
        <w:t xml:space="preserve">Investment view: the report is about validating a broader earnings platform</w:t>
      </w:r>
    </w:p>
    <w:p>
      <w:pPr>
        <w:pStyle w:val="FirstParagraph"/>
      </w:pPr>
      <w:r>
        <w:t xml:space="preserve">Texas Pacific Land (“TPL”) enters Q2 with three simultaneous narratives:</w:t>
      </w:r>
    </w:p>
    <w:p>
      <w:pPr>
        <w:pStyle w:val="Compact"/>
        <w:numPr>
          <w:ilvl w:val="0"/>
          <w:numId w:val="1001"/>
        </w:numPr>
      </w:pPr>
      <w:r>
        <w:rPr>
          <w:b/>
          <w:bCs/>
        </w:rPr>
        <w:t xml:space="preserve">Legacy royalty earnings</w:t>
      </w:r>
      <w:r>
        <w:t xml:space="preserve"> </w:t>
      </w:r>
      <w:r>
        <w:t xml:space="preserve">should benefit from strong Permian production and an unhedged commodity position.</w:t>
      </w:r>
    </w:p>
    <w:p>
      <w:pPr>
        <w:pStyle w:val="Compact"/>
        <w:numPr>
          <w:ilvl w:val="0"/>
          <w:numId w:val="1001"/>
        </w:numPr>
      </w:pPr>
      <w:r>
        <w:rPr>
          <w:b/>
          <w:bCs/>
        </w:rPr>
        <w:t xml:space="preserve">Water remains the key recurring growth engine</w:t>
      </w:r>
      <w:r>
        <w:t xml:space="preserve">, particularly produced-water royalties, though investors will want to see a sequential rebound in sourced/treated water sales after a softer Q1.</w:t>
      </w:r>
    </w:p>
    <w:p>
      <w:pPr>
        <w:pStyle w:val="Compact"/>
        <w:numPr>
          <w:ilvl w:val="0"/>
          <w:numId w:val="1001"/>
        </w:numPr>
      </w:pPr>
      <w:r>
        <w:rPr>
          <w:b/>
          <w:bCs/>
        </w:rPr>
        <w:t xml:space="preserve">The valuation debate is increasingly about optionality</w:t>
      </w:r>
      <w:r>
        <w:t xml:space="preserve">: data-center/power projects and produced-water desalination can materially expand the addressable market, but investors now need tangible commercial milestones rather than only strategic framing.</w:t>
      </w:r>
    </w:p>
    <w:p>
      <w:pPr>
        <w:pStyle w:val="FirstParagraph"/>
      </w:pPr>
      <w:r>
        <w:t xml:space="preserve">The headline EPS and revenue result will matter, but the more consequential questions are whether TPL can demonstrate that (a) its core water and royalty cash flows are continuing to compound and (b) the next-generation opportunities are moving from concept and announcements to contracted, economic projects.</w:t>
      </w:r>
    </w:p>
    <w:p>
      <w:r>
        <w:pict>
          <v:rect style="width:0;height:1.5pt" o:hralign="center" o:hrstd="t" o:hr="t"/>
        </w:pict>
      </w:r>
    </w:p>
    <w:bookmarkEnd w:id="9"/>
    <w:bookmarkStart w:id="10" w:name="why-this-quarter-matters"/>
    <w:p>
      <w:pPr>
        <w:pStyle w:val="Heading2"/>
      </w:pPr>
      <w:r>
        <w:t xml:space="preserve">Why this quarter matters</w:t>
      </w:r>
    </w:p>
    <w:p>
      <w:pPr>
        <w:pStyle w:val="FirstParagraph"/>
      </w:pPr>
      <w:r>
        <w:t xml:space="preserve">TPL’s Q1 was exceptionally strong but benefited from a non-recurring land-sale accounting gain. Reported Q1 revenue was</w:t>
      </w:r>
      <w:r>
        <w:t xml:space="preserve"> </w:t>
      </w:r>
      <m:oMath>
        <m:r>
          <m:t>236.8</m:t>
        </m:r>
        <m:r>
          <m:t>m</m:t>
        </m:r>
        <m:r>
          <m:t>i</m:t>
        </m:r>
        <m:r>
          <m:t>l</m:t>
        </m:r>
        <m:r>
          <m:t>l</m:t>
        </m:r>
        <m:r>
          <m:t>i</m:t>
        </m:r>
        <m:r>
          <m:t>o</m:t>
        </m:r>
        <m:r>
          <m:t>n</m:t>
        </m:r>
        <m:r>
          <m:rPr>
            <m:sty m:val="p"/>
          </m:rPr>
          <m:t>*</m:t>
        </m:r>
        <m:r>
          <m:rPr>
            <m:sty m:val="p"/>
          </m:rPr>
          <m:t>*</m:t>
        </m:r>
        <m:r>
          <m:rPr>
            <m:sty m:val="p"/>
          </m:rPr>
          <m:t>,</m:t>
        </m:r>
        <m:r>
          <m:t>n</m:t>
        </m:r>
        <m:r>
          <m:t>e</m:t>
        </m:r>
        <m:r>
          <m:t>t</m:t>
        </m:r>
        <m:r>
          <m:t>i</m:t>
        </m:r>
        <m:r>
          <m:t>n</m:t>
        </m:r>
        <m:r>
          <m:t>c</m:t>
        </m:r>
        <m:r>
          <m:t>o</m:t>
        </m:r>
        <m:r>
          <m:t>m</m:t>
        </m:r>
        <m:r>
          <m:t>e</m:t>
        </m:r>
        <m:r>
          <m:t>w</m:t>
        </m:r>
        <m:r>
          <m:t>a</m:t>
        </m:r>
        <m:r>
          <m:t>s</m:t>
        </m:r>
        <m:r>
          <m:rPr>
            <m:sty m:val="p"/>
          </m:rPr>
          <m:t>*</m:t>
        </m:r>
        <m:r>
          <m:rPr>
            <m:sty m:val="p"/>
          </m:rPr>
          <m:t>*</m:t>
        </m:r>
      </m:oMath>
      <w:r>
        <w:rPr>
          <w:b/>
          <w:bCs/>
        </w:rPr>
        <w:t xml:space="preserve">142.9 million /</w:t>
      </w:r>
      <w:r>
        <w:rPr>
          <w:b/>
          <w:bCs/>
        </w:rPr>
        <w:t xml:space="preserve"> </w:t>
      </w:r>
      <m:oMath>
        <m:r>
          <m:t>2.07</m:t>
        </m:r>
        <m:r>
          <m:t>p</m:t>
        </m:r>
        <m:r>
          <m:t>e</m:t>
        </m:r>
        <m:r>
          <m:t>r</m:t>
        </m:r>
        <m:r>
          <m:t>d</m:t>
        </m:r>
        <m:r>
          <m:t>i</m:t>
        </m:r>
        <m:r>
          <m:t>l</m:t>
        </m:r>
        <m:r>
          <m:t>u</m:t>
        </m:r>
        <m:r>
          <m:t>t</m:t>
        </m:r>
        <m:r>
          <m:t>e</m:t>
        </m:r>
        <m:r>
          <m:t>d</m:t>
        </m:r>
        <m:r>
          <m:t>s</m:t>
        </m:r>
        <m:r>
          <m:t>h</m:t>
        </m:r>
        <m:r>
          <m:t>a</m:t>
        </m:r>
        <m:r>
          <m:t>r</m:t>
        </m:r>
        <m:r>
          <m:t>e</m:t>
        </m:r>
        <m:r>
          <m:rPr>
            <m:sty m:val="p"/>
          </m:rPr>
          <m:t>*</m:t>
        </m:r>
        <m:r>
          <m:rPr>
            <m:sty m:val="p"/>
          </m:rPr>
          <m:t>*</m:t>
        </m:r>
        <m:r>
          <m:rPr>
            <m:sty m:val="p"/>
          </m:rPr>
          <m:t>,</m:t>
        </m:r>
        <m:r>
          <m:t>a</m:t>
        </m:r>
        <m:r>
          <m:t>n</m:t>
        </m:r>
        <m:r>
          <m:t>d</m:t>
        </m:r>
        <m:r>
          <m:t>a</m:t>
        </m:r>
        <m:r>
          <m:t>d</m:t>
        </m:r>
        <m:r>
          <m:t>j</m:t>
        </m:r>
        <m:r>
          <m:t>u</m:t>
        </m:r>
        <m:r>
          <m:t>s</m:t>
        </m:r>
        <m:r>
          <m:t>t</m:t>
        </m:r>
        <m:r>
          <m:t>e</m:t>
        </m:r>
        <m:r>
          <m:t>d</m:t>
        </m:r>
        <m:r>
          <m:t>E</m:t>
        </m:r>
        <m:r>
          <m:t>B</m:t>
        </m:r>
        <m:r>
          <m:t>I</m:t>
        </m:r>
        <m:r>
          <m:t>T</m:t>
        </m:r>
        <m:r>
          <m:t>D</m:t>
        </m:r>
        <m:r>
          <m:t>A</m:t>
        </m:r>
        <m:r>
          <m:t>w</m:t>
        </m:r>
        <m:r>
          <m:t>a</m:t>
        </m:r>
        <m:r>
          <m:t>s</m:t>
        </m:r>
        <m:r>
          <m:rPr>
            <m:sty m:val="p"/>
          </m:rPr>
          <m:t>*</m:t>
        </m:r>
        <m:r>
          <m:rPr>
            <m:sty m:val="p"/>
          </m:rPr>
          <m:t>*</m:t>
        </m:r>
      </m:oMath>
      <w:r>
        <w:rPr>
          <w:b/>
          <w:bCs/>
        </w:rPr>
        <w:t xml:space="preserve">181.4 million</w:t>
      </w:r>
      <w:r>
        <w:t xml:space="preserve">. However, Q1 included</w:t>
      </w:r>
      <w:r>
        <w:t xml:space="preserve"> </w:t>
      </w:r>
      <w:r>
        <w:rPr>
          <w:b/>
          <w:bCs/>
        </w:rPr>
        <w:t xml:space="preserve">$20.9 million of land-sale revenue</w:t>
      </w:r>
      <w:r>
        <w:t xml:space="preserve"> </w:t>
      </w:r>
      <w:r>
        <w:t xml:space="preserve">associated with a data-center/power-related transaction; management excluded that amount from adjusted EBITDA and free cash flow.</w:t>
      </w:r>
    </w:p>
    <w:p>
      <w:pPr>
        <w:pStyle w:val="BodyText"/>
      </w:pPr>
      <w:r>
        <w:t xml:space="preserve">Accordingly, the market should focus less on whether Q2 clears Q1’s reported revenue and more on underlying trends in:</w:t>
      </w:r>
    </w:p>
    <w:p>
      <w:pPr>
        <w:pStyle w:val="Compact"/>
        <w:numPr>
          <w:ilvl w:val="0"/>
          <w:numId w:val="1002"/>
        </w:numPr>
      </w:pPr>
      <w:r>
        <w:t xml:space="preserve">Oil-and-gas royalty volumes and realized prices;</w:t>
      </w:r>
    </w:p>
    <w:p>
      <w:pPr>
        <w:pStyle w:val="Compact"/>
        <w:numPr>
          <w:ilvl w:val="0"/>
          <w:numId w:val="1002"/>
        </w:numPr>
      </w:pPr>
      <w:r>
        <w:t xml:space="preserve">Water-sales volumes, pricing, and margins;</w:t>
      </w:r>
    </w:p>
    <w:p>
      <w:pPr>
        <w:pStyle w:val="Compact"/>
        <w:numPr>
          <w:ilvl w:val="0"/>
          <w:numId w:val="1002"/>
        </w:numPr>
      </w:pPr>
      <w:r>
        <w:t xml:space="preserve">Produced-water royalty volumes;</w:t>
      </w:r>
    </w:p>
    <w:p>
      <w:pPr>
        <w:pStyle w:val="Compact"/>
        <w:numPr>
          <w:ilvl w:val="0"/>
          <w:numId w:val="1002"/>
        </w:numPr>
      </w:pPr>
      <w:r>
        <w:t xml:space="preserve">Surface/easement revenue;</w:t>
      </w:r>
    </w:p>
    <w:p>
      <w:pPr>
        <w:pStyle w:val="Compact"/>
        <w:numPr>
          <w:ilvl w:val="0"/>
          <w:numId w:val="1002"/>
        </w:numPr>
      </w:pPr>
      <w:r>
        <w:t xml:space="preserve">Desalination commissioning and operating data; and</w:t>
      </w:r>
    </w:p>
    <w:p>
      <w:pPr>
        <w:pStyle w:val="Compact"/>
        <w:numPr>
          <w:ilvl w:val="0"/>
          <w:numId w:val="1002"/>
        </w:numPr>
      </w:pPr>
      <w:r>
        <w:t xml:space="preserve">Monetization of power-generation/data-center sites, including Chevron’s Project Kilby.</w:t>
      </w:r>
    </w:p>
    <w:p>
      <w:r>
        <w:pict>
          <v:rect style="width:0;height:1.5pt" o:hralign="center" o:hrstd="t" o:hr="t"/>
        </w:pict>
      </w:r>
    </w:p>
    <w:bookmarkEnd w:id="10"/>
    <w:bookmarkStart w:id="11" w:name="X0239575b06acc9835f039df505b7a54a1da2ee7"/>
    <w:p>
      <w:pPr>
        <w:pStyle w:val="Heading2"/>
      </w:pPr>
      <w:r>
        <w:t xml:space="preserve">Q1 baseline: the metrics to measure against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Q1 2026</w:t>
            </w:r>
          </w:p>
        </w:tc>
        <w:tc>
          <w:tcPr/>
          <w:p>
            <w:pPr>
              <w:pStyle w:val="Compact"/>
              <w:jc w:val="right"/>
            </w:pPr>
            <w:r>
              <w:t xml:space="preserve">Sequential vs. Q4 2025</w:t>
            </w:r>
          </w:p>
        </w:tc>
        <w:tc>
          <w:tcPr/>
          <w:p>
            <w:pPr>
              <w:pStyle w:val="Compact"/>
            </w:pPr>
            <w:r>
              <w:t xml:space="preserve">What matters for Q2</w:t>
            </w:r>
          </w:p>
        </w:tc>
      </w:tr>
      <w:tr>
        <w:tc>
          <w:tcPr/>
          <w:p>
            <w:pPr>
              <w:pStyle w:val="Compact"/>
            </w:pPr>
            <w:r>
              <w:t xml:space="preserve">Total revenue</w:t>
            </w:r>
          </w:p>
        </w:tc>
        <w:tc>
          <w:tcPr/>
          <w:p>
            <w:pPr>
              <w:pStyle w:val="Compact"/>
              <w:jc w:val="right"/>
            </w:pPr>
            <w:r>
              <w:rPr>
                <w:b/>
                <w:bCs/>
              </w:rPr>
              <w:t xml:space="preserve">$236.8M</w:t>
            </w:r>
          </w:p>
        </w:tc>
        <w:tc>
          <w:tcPr/>
          <w:p>
            <w:pPr>
              <w:pStyle w:val="Compact"/>
              <w:jc w:val="right"/>
            </w:pPr>
            <w:r>
              <w:t xml:space="preserve">+12%</w:t>
            </w:r>
          </w:p>
        </w:tc>
        <w:tc>
          <w:tcPr/>
          <w:p>
            <w:pPr>
              <w:pStyle w:val="Compact"/>
            </w:pPr>
            <w:r>
              <w:t xml:space="preserve">Normalize for the $20.9M land sale</w:t>
            </w:r>
          </w:p>
        </w:tc>
      </w:tr>
      <w:tr>
        <w:tc>
          <w:tcPr/>
          <w:p>
            <w:pPr>
              <w:pStyle w:val="Compact"/>
            </w:pPr>
            <w:r>
              <w:t xml:space="preserve">Net income / diluted EPS</w:t>
            </w:r>
          </w:p>
        </w:tc>
        <w:tc>
          <w:tcPr/>
          <w:p>
            <w:pPr>
              <w:pStyle w:val="Compact"/>
              <w:jc w:val="right"/>
            </w:pPr>
            <w:r>
              <w:rPr>
                <w:b/>
                <w:bCs/>
              </w:rPr>
              <w:t xml:space="preserve">$142.9M / $2.07</w:t>
            </w:r>
          </w:p>
        </w:tc>
        <w:tc>
          <w:tcPr/>
          <w:p>
            <w:pPr>
              <w:pStyle w:val="Compact"/>
              <w:jc w:val="right"/>
            </w:pPr>
            <w:r>
              <w:t xml:space="preserve">+16%</w:t>
            </w:r>
          </w:p>
        </w:tc>
        <w:tc>
          <w:tcPr/>
          <w:p>
            <w:pPr>
              <w:pStyle w:val="Compact"/>
            </w:pPr>
            <w:r>
              <w:t xml:space="preserve">Core royalty and water profitability</w:t>
            </w:r>
          </w:p>
        </w:tc>
      </w:tr>
      <w:tr>
        <w:tc>
          <w:tcPr/>
          <w:p>
            <w:pPr>
              <w:pStyle w:val="Compact"/>
            </w:pPr>
            <w:r>
              <w:t xml:space="preserve">Adjusted EBITDA</w:t>
            </w:r>
          </w:p>
        </w:tc>
        <w:tc>
          <w:tcPr/>
          <w:p>
            <w:pPr>
              <w:pStyle w:val="Compact"/>
              <w:jc w:val="right"/>
            </w:pPr>
            <w:r>
              <w:rPr>
                <w:b/>
                <w:bCs/>
              </w:rPr>
              <w:t xml:space="preserve">$181.4M</w:t>
            </w:r>
          </w:p>
        </w:tc>
        <w:tc>
          <w:tcPr/>
          <w:p>
            <w:pPr>
              <w:pStyle w:val="Compact"/>
              <w:jc w:val="right"/>
            </w:pPr>
            <w:r>
              <w:t xml:space="preserve">+2%</w:t>
            </w:r>
          </w:p>
        </w:tc>
        <w:tc>
          <w:tcPr/>
          <w:p>
            <w:pPr>
              <w:pStyle w:val="Compact"/>
            </w:pPr>
            <w:r>
              <w:t xml:space="preserve">Cleaner indicator than GAAP earnings</w:t>
            </w:r>
          </w:p>
        </w:tc>
      </w:tr>
      <w:tr>
        <w:tc>
          <w:tcPr/>
          <w:p>
            <w:pPr>
              <w:pStyle w:val="Compact"/>
            </w:pPr>
            <w:r>
              <w:t xml:space="preserve">Free cash flow</w:t>
            </w:r>
          </w:p>
        </w:tc>
        <w:tc>
          <w:tcPr/>
          <w:p>
            <w:pPr>
              <w:pStyle w:val="Compact"/>
              <w:jc w:val="right"/>
            </w:pPr>
            <w:r>
              <w:rPr>
                <w:b/>
                <w:bCs/>
              </w:rPr>
              <w:t xml:space="preserve">$136.4M</w:t>
            </w:r>
          </w:p>
        </w:tc>
        <w:tc>
          <w:tcPr/>
          <w:p>
            <w:pPr>
              <w:pStyle w:val="Compact"/>
              <w:jc w:val="right"/>
            </w:pPr>
            <w:r>
              <w:t xml:space="preserve">+15%</w:t>
            </w:r>
          </w:p>
        </w:tc>
        <w:tc>
          <w:tcPr/>
          <w:p>
            <w:pPr>
              <w:pStyle w:val="Compact"/>
            </w:pPr>
            <w:r>
              <w:t xml:space="preserve">Capacity for investment and capital returns</w:t>
            </w:r>
          </w:p>
        </w:tc>
      </w:tr>
      <w:tr>
        <w:tc>
          <w:tcPr/>
          <w:p>
            <w:pPr>
              <w:pStyle w:val="Compact"/>
            </w:pPr>
            <w:r>
              <w:t xml:space="preserve">Oil &amp; gas royalty production</w:t>
            </w:r>
          </w:p>
        </w:tc>
        <w:tc>
          <w:tcPr/>
          <w:p>
            <w:pPr>
              <w:pStyle w:val="Compact"/>
              <w:jc w:val="right"/>
            </w:pPr>
            <w:r>
              <w:rPr>
                <w:b/>
                <w:bCs/>
              </w:rPr>
              <w:t xml:space="preserve">37.1 Mboe/d</w:t>
            </w:r>
          </w:p>
        </w:tc>
        <w:tc>
          <w:tcPr/>
          <w:p>
            <w:pPr>
              <w:pStyle w:val="Compact"/>
              <w:jc w:val="right"/>
            </w:pPr>
            <w:r>
              <w:t xml:space="preserve">-1%</w:t>
            </w:r>
          </w:p>
        </w:tc>
        <w:tc>
          <w:tcPr/>
          <w:p>
            <w:pPr>
              <w:pStyle w:val="Compact"/>
            </w:pPr>
            <w:r>
              <w:t xml:space="preserve">Well turn-in-lines and operator activity</w:t>
            </w:r>
          </w:p>
        </w:tc>
      </w:tr>
      <w:tr>
        <w:tc>
          <w:tcPr/>
          <w:p>
            <w:pPr>
              <w:pStyle w:val="Compact"/>
            </w:pPr>
            <w:r>
              <w:t xml:space="preserve">Oil &amp; gas royalty revenue</w:t>
            </w:r>
          </w:p>
        </w:tc>
        <w:tc>
          <w:tcPr/>
          <w:p>
            <w:pPr>
              <w:pStyle w:val="Compact"/>
              <w:jc w:val="right"/>
            </w:pPr>
            <w:r>
              <w:rPr>
                <w:b/>
                <w:bCs/>
              </w:rPr>
              <w:t xml:space="preserve">$118.2M</w:t>
            </w:r>
          </w:p>
        </w:tc>
        <w:tc>
          <w:tcPr/>
          <w:p>
            <w:pPr>
              <w:pStyle w:val="Compact"/>
              <w:jc w:val="right"/>
            </w:pPr>
            <w:r>
              <w:t xml:space="preserve">+22%</w:t>
            </w:r>
          </w:p>
        </w:tc>
        <w:tc>
          <w:tcPr/>
          <w:p>
            <w:pPr>
              <w:pStyle w:val="Compact"/>
            </w:pPr>
            <w:r>
              <w:t xml:space="preserve">Production plus commodity realization</w:t>
            </w:r>
          </w:p>
        </w:tc>
      </w:tr>
      <w:tr>
        <w:tc>
          <w:tcPr/>
          <w:p>
            <w:pPr>
              <w:pStyle w:val="Compact"/>
            </w:pPr>
            <w:r>
              <w:t xml:space="preserve">Water-sales revenue</w:t>
            </w:r>
          </w:p>
        </w:tc>
        <w:tc>
          <w:tcPr/>
          <w:p>
            <w:pPr>
              <w:pStyle w:val="Compact"/>
              <w:jc w:val="right"/>
            </w:pPr>
            <w:r>
              <w:rPr>
                <w:b/>
                <w:bCs/>
              </w:rPr>
              <w:t xml:space="preserve">$46.9M</w:t>
            </w:r>
          </w:p>
        </w:tc>
        <w:tc>
          <w:tcPr/>
          <w:p>
            <w:pPr>
              <w:pStyle w:val="Compact"/>
              <w:jc w:val="right"/>
            </w:pPr>
            <w:r>
              <w:t xml:space="preserve">-23%</w:t>
            </w:r>
          </w:p>
        </w:tc>
        <w:tc>
          <w:tcPr/>
          <w:p>
            <w:pPr>
              <w:pStyle w:val="Compact"/>
            </w:pPr>
            <w:r>
              <w:t xml:space="preserve">Volume and pricing recovery</w:t>
            </w:r>
          </w:p>
        </w:tc>
      </w:tr>
      <w:tr>
        <w:tc>
          <w:tcPr/>
          <w:p>
            <w:pPr>
              <w:pStyle w:val="Compact"/>
            </w:pPr>
            <w:r>
              <w:t xml:space="preserve">Produced-water royalty revenue</w:t>
            </w:r>
          </w:p>
        </w:tc>
        <w:tc>
          <w:tcPr/>
          <w:p>
            <w:pPr>
              <w:pStyle w:val="Compact"/>
              <w:jc w:val="right"/>
            </w:pPr>
            <w:r>
              <w:rPr>
                <w:b/>
                <w:bCs/>
              </w:rPr>
              <w:t xml:space="preserve">$33.5M</w:t>
            </w:r>
          </w:p>
        </w:tc>
        <w:tc>
          <w:tcPr/>
          <w:p>
            <w:pPr>
              <w:pStyle w:val="Compact"/>
              <w:jc w:val="right"/>
            </w:pPr>
            <w:r>
              <w:t xml:space="preserve">Flat</w:t>
            </w:r>
          </w:p>
        </w:tc>
        <w:tc>
          <w:tcPr/>
          <w:p>
            <w:pPr>
              <w:pStyle w:val="Compact"/>
            </w:pPr>
            <w:r>
              <w:t xml:space="preserve">Volume trend and contractual capture</w:t>
            </w:r>
          </w:p>
        </w:tc>
      </w:tr>
      <w:tr>
        <w:tc>
          <w:tcPr/>
          <w:p>
            <w:pPr>
              <w:pStyle w:val="Compact"/>
            </w:pPr>
            <w:r>
              <w:t xml:space="preserve">Net “line-of-sight” wells</w:t>
            </w:r>
          </w:p>
        </w:tc>
        <w:tc>
          <w:tcPr/>
          <w:p>
            <w:pPr>
              <w:pStyle w:val="Compact"/>
              <w:jc w:val="right"/>
            </w:pPr>
            <w:r>
              <w:rPr>
                <w:b/>
                <w:bCs/>
              </w:rPr>
              <w:t xml:space="preserve">20.7</w:t>
            </w:r>
          </w:p>
        </w:tc>
        <w:tc>
          <w:tcPr/>
          <w:p>
            <w:pPr>
              <w:pStyle w:val="Compact"/>
              <w:jc w:val="right"/>
            </w:pPr>
            <w:r>
              <w:t xml:space="preserve">+6%</w:t>
            </w:r>
          </w:p>
        </w:tc>
        <w:tc>
          <w:tcPr/>
          <w:p>
            <w:pPr>
              <w:pStyle w:val="Compact"/>
            </w:pPr>
            <w:r>
              <w:t xml:space="preserve">Future production visibility</w:t>
            </w:r>
          </w:p>
        </w:tc>
      </w:tr>
    </w:tbl>
    <w:p>
      <w:pPr>
        <w:pStyle w:val="BodyText"/>
      </w:pPr>
      <w:r>
        <w:t xml:space="preserve">The Q1 release identified strong completion activity from</w:t>
      </w:r>
      <w:r>
        <w:t xml:space="preserve"> </w:t>
      </w:r>
      <w:r>
        <w:rPr>
          <w:b/>
          <w:bCs/>
        </w:rPr>
        <w:t xml:space="preserve">Occidental, BP, Devon and Exxon</w:t>
      </w:r>
      <w:r>
        <w:t xml:space="preserve"> </w:t>
      </w:r>
      <w:r>
        <w:t xml:space="preserve">in TPL’s core Delaware and Midland Basin areas. It also noted that longer laterals are increasing the normalized inventory of line-of-sight wells. Investors should look for evidence that this inventory is translating into production growth rather than simply remaining in the backlog.</w:t>
      </w:r>
    </w:p>
    <w:p>
      <w:r>
        <w:pict>
          <v:rect style="width:0;height:1.5pt" o:hralign="center" o:hrstd="t" o:hr="t"/>
        </w:pict>
      </w:r>
    </w:p>
    <w:bookmarkEnd w:id="11"/>
    <w:bookmarkStart w:id="15" w:name="the-core-earnings-setup"/>
    <w:p>
      <w:pPr>
        <w:pStyle w:val="Heading2"/>
      </w:pPr>
      <w:r>
        <w:t xml:space="preserve">The core earnings setup</w:t>
      </w:r>
    </w:p>
    <w:bookmarkStart w:id="12" w:name="X80080735f045c61c5638c5c8adce716fa3360f7"/>
    <w:p>
      <w:pPr>
        <w:pStyle w:val="Heading3"/>
      </w:pPr>
      <w:r>
        <w:t xml:space="preserve">1. Oil-and-gas royalties: strong price exposure, but volumes are equally important</w:t>
      </w:r>
    </w:p>
    <w:p>
      <w:pPr>
        <w:pStyle w:val="FirstParagraph"/>
      </w:pPr>
      <w:r>
        <w:t xml:space="preserve">TPL is not an E&amp;P operator; it owns royalty interests and surface acreage. That means it has no drilling capital burden, but its income still depends on third-party operators’ production, completion schedules, and commodity-price realizations.</w:t>
      </w:r>
    </w:p>
    <w:p>
      <w:pPr>
        <w:pStyle w:val="BodyText"/>
      </w:pPr>
      <w:r>
        <w:t xml:space="preserve">Q1 royalty revenue was supported by:</w:t>
      </w:r>
    </w:p>
    <w:p>
      <w:pPr>
        <w:pStyle w:val="Compact"/>
        <w:numPr>
          <w:ilvl w:val="0"/>
          <w:numId w:val="1003"/>
        </w:numPr>
      </w:pPr>
      <w:r>
        <w:rPr>
          <w:b/>
          <w:bCs/>
        </w:rPr>
        <w:t xml:space="preserve">37.1 Mboe/d</w:t>
      </w:r>
      <w:r>
        <w:t xml:space="preserve"> </w:t>
      </w:r>
      <w:r>
        <w:t xml:space="preserve">of TPL-share production;</w:t>
      </w:r>
    </w:p>
    <w:p>
      <w:pPr>
        <w:pStyle w:val="Compact"/>
        <w:numPr>
          <w:ilvl w:val="0"/>
          <w:numId w:val="1003"/>
        </w:numPr>
      </w:pPr>
      <w:r>
        <w:rPr>
          <w:b/>
          <w:bCs/>
        </w:rPr>
        <w:t xml:space="preserve">$70.57/bbl</w:t>
      </w:r>
      <w:r>
        <w:t xml:space="preserve"> </w:t>
      </w:r>
      <w:r>
        <w:t xml:space="preserve">realized oil pricing;</w:t>
      </w:r>
    </w:p>
    <w:p>
      <w:pPr>
        <w:pStyle w:val="Compact"/>
        <w:numPr>
          <w:ilvl w:val="0"/>
          <w:numId w:val="1003"/>
        </w:numPr>
      </w:pPr>
      <w:r>
        <w:t xml:space="preserve">Higher oil and gas royalty revenue despite roughly flat sequential volumes.</w:t>
      </w:r>
    </w:p>
    <w:p>
      <w:pPr>
        <w:pStyle w:val="FirstParagraph"/>
      </w:pPr>
      <w:r>
        <w:t xml:space="preserve">Management emphasized on the prior call that TPL is</w:t>
      </w:r>
      <w:r>
        <w:t xml:space="preserve"> </w:t>
      </w:r>
      <w:r>
        <w:rPr>
          <w:b/>
          <w:bCs/>
        </w:rPr>
        <w:t xml:space="preserve">fully unhedged</w:t>
      </w:r>
      <w:r>
        <w:t xml:space="preserve">. Its illustrative sensitivity was roughly</w:t>
      </w:r>
      <w:r>
        <w:t xml:space="preserve"> </w:t>
      </w:r>
      <w:r>
        <w:rPr>
          <w:b/>
          <w:bCs/>
        </w:rPr>
        <w:t xml:space="preserve">$50 million of annual revenue for each $10/bbl increase in realized oil prices</w:t>
      </w:r>
      <w:r>
        <w:t xml:space="preserve">, based on 2025 oil volumes. That makes commodity realization especially important in Q2 and in the outlook discussion.</w:t>
      </w:r>
    </w:p>
    <w:p>
      <w:pPr>
        <w:pStyle w:val="BodyText"/>
      </w:pPr>
      <w:r>
        <w:rPr>
          <w:b/>
          <w:bCs/>
        </w:rPr>
        <w:t xml:space="preserve">What to watch</w:t>
      </w:r>
    </w:p>
    <w:p>
      <w:pPr>
        <w:pStyle w:val="Compact"/>
        <w:numPr>
          <w:ilvl w:val="0"/>
          <w:numId w:val="1004"/>
        </w:numPr>
      </w:pPr>
      <w:r>
        <w:t xml:space="preserve">Whether production moves above the Q1 37.1 Mboe/d level;</w:t>
      </w:r>
    </w:p>
    <w:p>
      <w:pPr>
        <w:pStyle w:val="Compact"/>
        <w:numPr>
          <w:ilvl w:val="0"/>
          <w:numId w:val="1004"/>
        </w:numPr>
      </w:pPr>
      <w:r>
        <w:t xml:space="preserve">Oil, gas, and NGL realization separately—not merely total royalty revenue;</w:t>
      </w:r>
    </w:p>
    <w:p>
      <w:pPr>
        <w:pStyle w:val="Compact"/>
        <w:numPr>
          <w:ilvl w:val="0"/>
          <w:numId w:val="1004"/>
        </w:numPr>
      </w:pPr>
      <w:r>
        <w:t xml:space="preserve">Commentary on Permian operator activity, completions, and longer-lateral development;</w:t>
      </w:r>
    </w:p>
    <w:p>
      <w:pPr>
        <w:pStyle w:val="Compact"/>
        <w:numPr>
          <w:ilvl w:val="0"/>
          <w:numId w:val="1004"/>
        </w:numPr>
      </w:pPr>
      <w:r>
        <w:t xml:space="preserve">Management’s perspective on whether elevated oil prices are translating into more rigs, frac spreads, permits, or completions.</w:t>
      </w:r>
    </w:p>
    <w:p>
      <w:pPr>
        <w:pStyle w:val="FirstParagraph"/>
      </w:pPr>
      <w:r>
        <w:t xml:space="preserve">A key nuance: higher oil prices are positive for TPL’s unhedged royalties, but the company has previously characterized producer activity as measured rather than immediately responsive. The earnings call should clarify whether that restraint is changing.</w:t>
      </w:r>
    </w:p>
    <w:p>
      <w:r>
        <w:pict>
          <v:rect style="width:0;height:1.5pt" o:hralign="center" o:hrstd="t" o:hr="t"/>
        </w:pict>
      </w:r>
    </w:p>
    <w:bookmarkEnd w:id="12"/>
    <w:bookmarkStart w:id="13" w:name="Xdbe489ab4fe400d2e7e136bef210a6c40039b06"/>
    <w:p>
      <w:pPr>
        <w:pStyle w:val="Heading3"/>
      </w:pPr>
      <w:r>
        <w:t xml:space="preserve">2. Water: Q2 needs to show that Q1’s decline was timing-related, not a trend break</w:t>
      </w:r>
    </w:p>
    <w:p>
      <w:pPr>
        <w:pStyle w:val="FirstParagraph"/>
      </w:pPr>
      <w:r>
        <w:t xml:space="preserve">Water sales are the largest near-term operating swing factor. In Q1, water-sales revenue declined to</w:t>
      </w:r>
      <w:r>
        <w:t xml:space="preserve"> </w:t>
      </w:r>
      <m:oMath>
        <m:r>
          <m:t>46.9</m:t>
        </m:r>
        <m:r>
          <m:t>m</m:t>
        </m:r>
        <m:r>
          <m:t>i</m:t>
        </m:r>
        <m:r>
          <m:t>l</m:t>
        </m:r>
        <m:r>
          <m:t>l</m:t>
        </m:r>
        <m:r>
          <m:t>i</m:t>
        </m:r>
        <m:r>
          <m:t>o</m:t>
        </m:r>
        <m:r>
          <m:t>n</m:t>
        </m:r>
        <m:r>
          <m:rPr>
            <m:sty m:val="p"/>
          </m:rPr>
          <m:t>*</m:t>
        </m:r>
        <m:r>
          <m:rPr>
            <m:sty m:val="p"/>
          </m:rPr>
          <m:t>*</m:t>
        </m:r>
        <m:r>
          <m:t>f</m:t>
        </m:r>
        <m:r>
          <m:t>r</m:t>
        </m:r>
        <m:r>
          <m:t>o</m:t>
        </m:r>
        <m:r>
          <m:t>m</m:t>
        </m:r>
        <m:r>
          <m:rPr>
            <m:sty m:val="p"/>
          </m:rPr>
          <m:t>*</m:t>
        </m:r>
        <m:r>
          <m:rPr>
            <m:sty m:val="p"/>
          </m:rPr>
          <m:t>*</m:t>
        </m:r>
      </m:oMath>
      <w:r>
        <w:rPr>
          <w:b/>
          <w:bCs/>
        </w:rPr>
        <w:t xml:space="preserve">60.7 million</w:t>
      </w:r>
      <w:r>
        <w:t xml:space="preserve"> </w:t>
      </w:r>
      <w:r>
        <w:t xml:space="preserve">in Q4, as both volumes and pricing declined. Water-sales volumes were</w:t>
      </w:r>
      <w:r>
        <w:t xml:space="preserve"> </w:t>
      </w:r>
      <w:r>
        <w:rPr>
          <w:b/>
          <w:bCs/>
        </w:rPr>
        <w:t xml:space="preserve">819 Mbbl/d</w:t>
      </w:r>
      <w:r>
        <w:t xml:space="preserve">, down from</w:t>
      </w:r>
      <w:r>
        <w:t xml:space="preserve"> </w:t>
      </w:r>
      <w:r>
        <w:rPr>
          <w:b/>
          <w:bCs/>
        </w:rPr>
        <w:t xml:space="preserve">1,001 Mbbl/d</w:t>
      </w:r>
      <w:r>
        <w:t xml:space="preserve"> </w:t>
      </w:r>
      <w:r>
        <w:t xml:space="preserve">in Q4.</w:t>
      </w:r>
    </w:p>
    <w:p>
      <w:pPr>
        <w:pStyle w:val="BodyText"/>
      </w:pPr>
      <w:r>
        <w:t xml:space="preserve">Management’s message was to avoid over-reading a single quarter, particularly given completion timing, customer activity, and the lumpy nature of water demand. Still, Q2 should determine whether that explanation holds.</w:t>
      </w:r>
    </w:p>
    <w:p>
      <w:pPr>
        <w:pStyle w:val="BodyText"/>
      </w:pPr>
      <w:r>
        <w:rPr>
          <w:b/>
          <w:bCs/>
        </w:rPr>
        <w:t xml:space="preserve">Bullish signals</w:t>
      </w:r>
    </w:p>
    <w:p>
      <w:pPr>
        <w:pStyle w:val="Compact"/>
        <w:numPr>
          <w:ilvl w:val="0"/>
          <w:numId w:val="1005"/>
        </w:numPr>
      </w:pPr>
      <w:r>
        <w:t xml:space="preserve">Water-sales volumes recovering toward or above Q4 levels;</w:t>
      </w:r>
    </w:p>
    <w:p>
      <w:pPr>
        <w:pStyle w:val="Compact"/>
        <w:numPr>
          <w:ilvl w:val="0"/>
          <w:numId w:val="1005"/>
        </w:numPr>
      </w:pPr>
      <w:r>
        <w:t xml:space="preserve">Pricing holding firm or improving;</w:t>
      </w:r>
    </w:p>
    <w:p>
      <w:pPr>
        <w:pStyle w:val="Compact"/>
        <w:numPr>
          <w:ilvl w:val="0"/>
          <w:numId w:val="1005"/>
        </w:numPr>
      </w:pPr>
      <w:r>
        <w:t xml:space="preserve">Water-service margins remaining resilient despite a recovery in activity;</w:t>
      </w:r>
    </w:p>
    <w:p>
      <w:pPr>
        <w:pStyle w:val="Compact"/>
        <w:numPr>
          <w:ilvl w:val="0"/>
          <w:numId w:val="1005"/>
        </w:numPr>
      </w:pPr>
      <w:r>
        <w:t xml:space="preserve">Evidence that TPL’s network scale, treatment capacity, and storage create greater capture of multi-well-pad and simulfrac demand.</w:t>
      </w:r>
    </w:p>
    <w:p>
      <w:pPr>
        <w:pStyle w:val="FirstParagraph"/>
      </w:pPr>
      <w:r>
        <w:t xml:space="preserve">TPL’s May investor presentation highlighted more than</w:t>
      </w:r>
      <w:r>
        <w:t xml:space="preserve"> </w:t>
      </w:r>
      <w:r>
        <w:rPr>
          <w:b/>
          <w:bCs/>
        </w:rPr>
        <w:t xml:space="preserve">1,000 Mbbl/d</w:t>
      </w:r>
      <w:r>
        <w:t xml:space="preserve"> </w:t>
      </w:r>
      <w:r>
        <w:t xml:space="preserve">of sourced and produced-water treatment capacity, roughly</w:t>
      </w:r>
      <w:r>
        <w:t xml:space="preserve"> </w:t>
      </w:r>
      <w:r>
        <w:rPr>
          <w:b/>
          <w:bCs/>
        </w:rPr>
        <w:t xml:space="preserve">38 million barrels</w:t>
      </w:r>
      <w:r>
        <w:t xml:space="preserve"> </w:t>
      </w:r>
      <w:r>
        <w:t xml:space="preserve">of storage capacity, and approximately</w:t>
      </w:r>
      <w:r>
        <w:t xml:space="preserve"> </w:t>
      </w:r>
      <w:r>
        <w:rPr>
          <w:b/>
          <w:bCs/>
        </w:rPr>
        <w:t xml:space="preserve">480 miles</w:t>
      </w:r>
      <w:r>
        <w:t xml:space="preserve"> </w:t>
      </w:r>
      <w:r>
        <w:t xml:space="preserve">of source-water pipelines. The strategic question is whether this installed network is increasingly converting into higher utilization and durable cash flow.</w:t>
      </w:r>
    </w:p>
    <w:p>
      <w:r>
        <w:pict>
          <v:rect style="width:0;height:1.5pt" o:hralign="center" o:hrstd="t" o:hr="t"/>
        </w:pict>
      </w:r>
    </w:p>
    <w:bookmarkEnd w:id="13"/>
    <w:bookmarkStart w:id="14" w:name="X8127fdd9bd0c3543094236b1a3fffd44a29cff5"/>
    <w:p>
      <w:pPr>
        <w:pStyle w:val="Heading3"/>
      </w:pPr>
      <w:r>
        <w:t xml:space="preserve">3. Produced-water royalties: arguably the most attractive recurring revenue stream</w:t>
      </w:r>
    </w:p>
    <w:p>
      <w:pPr>
        <w:pStyle w:val="FirstParagraph"/>
      </w:pPr>
      <w:r>
        <w:t xml:space="preserve">Produced-water royalty revenue was</w:t>
      </w:r>
      <w:r>
        <w:t xml:space="preserve"> </w:t>
      </w:r>
      <w:r>
        <w:rPr>
          <w:b/>
          <w:bCs/>
        </w:rPr>
        <w:t xml:space="preserve">$33.5 million</w:t>
      </w:r>
      <w:r>
        <w:t xml:space="preserve"> </w:t>
      </w:r>
      <w:r>
        <w:t xml:space="preserve">in Q1, essentially flat sequentially, while volumes declined modestly to</w:t>
      </w:r>
      <w:r>
        <w:t xml:space="preserve"> </w:t>
      </w:r>
      <w:r>
        <w:rPr>
          <w:b/>
          <w:bCs/>
        </w:rPr>
        <w:t xml:space="preserve">4.61 million bbl/d</w:t>
      </w:r>
      <w:r>
        <w:t xml:space="preserve"> </w:t>
      </w:r>
      <w:r>
        <w:t xml:space="preserve">from</w:t>
      </w:r>
      <w:r>
        <w:t xml:space="preserve"> </w:t>
      </w:r>
      <w:r>
        <w:rPr>
          <w:b/>
          <w:bCs/>
        </w:rPr>
        <w:t xml:space="preserve">4.82 million bbl/d</w:t>
      </w:r>
      <w:r>
        <w:t xml:space="preserve"> </w:t>
      </w:r>
      <w:r>
        <w:t xml:space="preserve">in Q4. Year over year, revenue rose 21% and volumes rose 24%.</w:t>
      </w:r>
    </w:p>
    <w:p>
      <w:pPr>
        <w:pStyle w:val="BodyText"/>
      </w:pPr>
      <w:r>
        <w:t xml:space="preserve">This remains one of TPL’s highest-quality cash-flow streams because it is contractual, requires no direct saltwater-disposal operating expense, and has no meaningful capital requirement for TPL. It is indirectly exposed to oil activity and disposal/recycling behavior, but it is not directly priced off commodity benchmarks.</w:t>
      </w:r>
    </w:p>
    <w:p>
      <w:pPr>
        <w:pStyle w:val="BodyText"/>
      </w:pPr>
      <w:r>
        <w:rPr>
          <w:b/>
          <w:bCs/>
        </w:rPr>
        <w:t xml:space="preserve">What to watch</w:t>
      </w:r>
    </w:p>
    <w:p>
      <w:pPr>
        <w:pStyle w:val="Compact"/>
        <w:numPr>
          <w:ilvl w:val="0"/>
          <w:numId w:val="1006"/>
        </w:numPr>
      </w:pPr>
      <w:r>
        <w:t xml:space="preserve">A return to sequential volume growth;</w:t>
      </w:r>
    </w:p>
    <w:p>
      <w:pPr>
        <w:pStyle w:val="Compact"/>
        <w:numPr>
          <w:ilvl w:val="0"/>
          <w:numId w:val="1006"/>
        </w:numPr>
      </w:pPr>
      <w:r>
        <w:t xml:space="preserve">New area-of-mutual-interest, disposal, easement, or offtake agreements;</w:t>
      </w:r>
    </w:p>
    <w:p>
      <w:pPr>
        <w:pStyle w:val="Compact"/>
        <w:numPr>
          <w:ilvl w:val="0"/>
          <w:numId w:val="1006"/>
        </w:numPr>
      </w:pPr>
      <w:r>
        <w:t xml:space="preserve">Whether customer recycling behavior changes disposal volumes;</w:t>
      </w:r>
    </w:p>
    <w:p>
      <w:pPr>
        <w:pStyle w:val="Compact"/>
        <w:numPr>
          <w:ilvl w:val="0"/>
          <w:numId w:val="1006"/>
        </w:numPr>
      </w:pPr>
      <w:r>
        <w:t xml:space="preserve">Updates on available disposal capacity and TPL’s efforts to ensure water handling does not constrain Permian development.</w:t>
      </w:r>
    </w:p>
    <w:p>
      <w:pPr>
        <w:pStyle w:val="FirstParagraph"/>
      </w:pPr>
      <w:r>
        <w:t xml:space="preserve">This line item deserves particular attention because it combines high margin, low capital intensity, and a structural tailwind from the Permian’s high water-to-oil ratios.</w:t>
      </w:r>
    </w:p>
    <w:p>
      <w:r>
        <w:pict>
          <v:rect style="width:0;height:1.5pt" o:hralign="center" o:hrstd="t" o:hr="t"/>
        </w:pict>
      </w:r>
    </w:p>
    <w:bookmarkEnd w:id="14"/>
    <w:bookmarkEnd w:id="15"/>
    <w:bookmarkStart w:id="18" w:name="the-two-strategic-catalysts"/>
    <w:p>
      <w:pPr>
        <w:pStyle w:val="Heading2"/>
      </w:pPr>
      <w:r>
        <w:t xml:space="preserve">The two strategic catalysts</w:t>
      </w:r>
    </w:p>
    <w:bookmarkStart w:id="16" w:name="X8ef44321809defed4305579c67845a6f8da22b0"/>
    <w:p>
      <w:pPr>
        <w:pStyle w:val="Heading3"/>
      </w:pPr>
      <w:r>
        <w:t xml:space="preserve">Data centers and power: Project Kilby turns the thesis more concrete</w:t>
      </w:r>
    </w:p>
    <w:p>
      <w:pPr>
        <w:pStyle w:val="FirstParagraph"/>
      </w:pPr>
      <w:r>
        <w:t xml:space="preserve">TPL’s Q1 announcement included a</w:t>
      </w:r>
      <w:r>
        <w:t xml:space="preserve"> </w:t>
      </w:r>
      <m:oMath>
        <m:r>
          <m:t>42.5</m:t>
        </m:r>
        <m:r>
          <m:t>m</m:t>
        </m:r>
        <m:r>
          <m:t>i</m:t>
        </m:r>
        <m:r>
          <m:t>l</m:t>
        </m:r>
        <m:r>
          <m:t>l</m:t>
        </m:r>
        <m:r>
          <m:t>i</m:t>
        </m:r>
        <m:r>
          <m:t>o</m:t>
        </m:r>
        <m:r>
          <m:t>n</m:t>
        </m:r>
        <m:r>
          <m:t>a</m:t>
        </m:r>
        <m:r>
          <m:t>g</m:t>
        </m:r>
        <m:r>
          <m:t>g</m:t>
        </m:r>
        <m:r>
          <m:t>r</m:t>
        </m:r>
        <m:r>
          <m:t>e</m:t>
        </m:r>
        <m:r>
          <m:t>g</m:t>
        </m:r>
        <m:r>
          <m:t>a</m:t>
        </m:r>
        <m:r>
          <m:t>t</m:t>
        </m:r>
        <m:r>
          <m:t>e</m:t>
        </m:r>
        <m:r>
          <m:rPr>
            <m:sty m:val="p"/>
          </m:rPr>
          <m:t>−</m:t>
        </m:r>
        <m:r>
          <m:t>c</m:t>
        </m:r>
        <m:r>
          <m:t>o</m:t>
        </m:r>
        <m:r>
          <m:t>n</m:t>
        </m:r>
        <m:r>
          <m:t>s</m:t>
        </m:r>
        <m:r>
          <m:t>i</m:t>
        </m:r>
        <m:r>
          <m:t>d</m:t>
        </m:r>
        <m:r>
          <m:t>e</m:t>
        </m:r>
        <m:r>
          <m:t>r</m:t>
        </m:r>
        <m:r>
          <m:t>a</m:t>
        </m:r>
        <m:r>
          <m:t>t</m:t>
        </m:r>
        <m:r>
          <m:t>i</m:t>
        </m:r>
        <m:r>
          <m:t>o</m:t>
        </m:r>
        <m:r>
          <m:t>n</m:t>
        </m:r>
        <m:r>
          <m:rPr>
            <m:sty m:val="p"/>
          </m:rPr>
          <m:t>*</m:t>
        </m:r>
        <m:r>
          <m:rPr>
            <m:sty m:val="p"/>
          </m:rPr>
          <m:t>*</m:t>
        </m:r>
        <m:r>
          <m:t>l</m:t>
        </m:r>
        <m:r>
          <m:t>a</m:t>
        </m:r>
        <m:r>
          <m:t>n</m:t>
        </m:r>
        <m:r>
          <m:t>d</m:t>
        </m:r>
        <m:r>
          <m:t>t</m:t>
        </m:r>
        <m:r>
          <m:t>r</m:t>
        </m:r>
        <m:r>
          <m:t>a</m:t>
        </m:r>
        <m:r>
          <m:t>n</m:t>
        </m:r>
        <m:r>
          <m:t>s</m:t>
        </m:r>
        <m:r>
          <m:t>a</m:t>
        </m:r>
        <m:r>
          <m:t>c</m:t>
        </m:r>
        <m:r>
          <m:t>t</m:t>
        </m:r>
        <m:r>
          <m:t>i</m:t>
        </m:r>
        <m:r>
          <m:t>o</m:t>
        </m:r>
        <m:r>
          <m:t>n</m:t>
        </m:r>
        <m:r>
          <m:t>w</m:t>
        </m:r>
        <m:r>
          <m:t>i</m:t>
        </m:r>
        <m:r>
          <m:t>t</m:t>
        </m:r>
        <m:r>
          <m:t>h</m:t>
        </m:r>
        <m:r>
          <m:t>a</m:t>
        </m:r>
        <m:r>
          <m:t>p</m:t>
        </m:r>
        <m:r>
          <m:t>o</m:t>
        </m:r>
        <m:r>
          <m:t>w</m:t>
        </m:r>
        <m:r>
          <m:t>e</m:t>
        </m:r>
        <m:r>
          <m:t>r</m:t>
        </m:r>
        <m:r>
          <m:rPr>
            <m:sty m:val="p"/>
          </m:rPr>
          <m:t>−</m:t>
        </m:r>
        <m:r>
          <m:t>g</m:t>
        </m:r>
        <m:r>
          <m:t>e</m:t>
        </m:r>
        <m:r>
          <m:t>n</m:t>
        </m:r>
        <m:r>
          <m:t>e</m:t>
        </m:r>
        <m:r>
          <m:t>r</m:t>
        </m:r>
        <m:r>
          <m:t>a</m:t>
        </m:r>
        <m:r>
          <m:t>t</m:t>
        </m:r>
        <m:r>
          <m:t>i</m:t>
        </m:r>
        <m:r>
          <m:t>o</m:t>
        </m:r>
        <m:r>
          <m:t>n</m:t>
        </m:r>
        <m:r>
          <m:t>d</m:t>
        </m:r>
        <m:r>
          <m:t>e</m:t>
        </m:r>
        <m:r>
          <m:t>v</m:t>
        </m:r>
        <m:r>
          <m:t>e</m:t>
        </m:r>
        <m:r>
          <m:t>l</m:t>
        </m:r>
        <m:r>
          <m:t>o</m:t>
        </m:r>
        <m:r>
          <m:t>p</m:t>
        </m:r>
        <m:r>
          <m:t>e</m:t>
        </m:r>
        <m:r>
          <m:t>r</m:t>
        </m:r>
        <m:r>
          <m:t>s</m:t>
        </m:r>
        <m:r>
          <m:t>u</m:t>
        </m:r>
        <m:r>
          <m:t>p</m:t>
        </m:r>
        <m:r>
          <m:t>p</m:t>
        </m:r>
        <m:r>
          <m:t>o</m:t>
        </m:r>
        <m:r>
          <m:t>r</m:t>
        </m:r>
        <m:r>
          <m:t>t</m:t>
        </m:r>
        <m:r>
          <m:t>i</m:t>
        </m:r>
        <m:r>
          <m:t>n</m:t>
        </m:r>
        <m:r>
          <m:t>g</m:t>
        </m:r>
        <m:r>
          <m:t>d</m:t>
        </m:r>
        <m:r>
          <m:t>a</m:t>
        </m:r>
        <m:r>
          <m:t>t</m:t>
        </m:r>
        <m:r>
          <m:t>a</m:t>
        </m:r>
        <m:r>
          <m:rPr>
            <m:sty m:val="p"/>
          </m:rPr>
          <m:t>−</m:t>
        </m:r>
        <m:r>
          <m:t>c</m:t>
        </m:r>
        <m:r>
          <m:t>e</m:t>
        </m:r>
        <m:r>
          <m:t>n</m:t>
        </m:r>
        <m:r>
          <m:t>t</m:t>
        </m:r>
        <m:r>
          <m:t>e</m:t>
        </m:r>
        <m:r>
          <m:t>r</m:t>
        </m:r>
        <m:r>
          <m:t>o</m:t>
        </m:r>
        <m:r>
          <m:t>p</m:t>
        </m:r>
        <m:r>
          <m:t>e</m:t>
        </m:r>
        <m:r>
          <m:t>r</m:t>
        </m:r>
        <m:r>
          <m:t>a</m:t>
        </m:r>
        <m:r>
          <m:t>t</m:t>
        </m:r>
        <m:r>
          <m:t>i</m:t>
        </m:r>
        <m:r>
          <m:t>o</m:t>
        </m:r>
        <m:r>
          <m:t>n</m:t>
        </m:r>
        <m:r>
          <m:t>s</m:t>
        </m:r>
        <m:r>
          <m:rPr>
            <m:sty m:val="p"/>
          </m:rPr>
          <m:t>,</m:t>
        </m:r>
        <m:r>
          <m:t>a</m:t>
        </m:r>
        <m:r>
          <m:t>l</m:t>
        </m:r>
        <m:r>
          <m:t>o</m:t>
        </m:r>
        <m:r>
          <m:t>n</m:t>
        </m:r>
        <m:r>
          <m:t>g</m:t>
        </m:r>
        <m:r>
          <m:t>w</m:t>
        </m:r>
        <m:r>
          <m:t>i</m:t>
        </m:r>
        <m:r>
          <m:t>t</m:t>
        </m:r>
        <m:r>
          <m:t>h</m:t>
        </m:r>
        <m:r>
          <m:t>a</m:t>
        </m:r>
        <m:r>
          <m:t>s</m:t>
        </m:r>
        <m:r>
          <m:t>e</m:t>
        </m:r>
        <m:r>
          <m:t>p</m:t>
        </m:r>
        <m:r>
          <m:t>a</m:t>
        </m:r>
        <m:r>
          <m:t>r</m:t>
        </m:r>
        <m:r>
          <m:t>a</m:t>
        </m:r>
        <m:r>
          <m:t>t</m:t>
        </m:r>
        <m:r>
          <m:t>e</m:t>
        </m:r>
        <m:r>
          <m:t>w</m:t>
        </m:r>
        <m:r>
          <m:t>a</m:t>
        </m:r>
        <m:r>
          <m:t>t</m:t>
        </m:r>
        <m:r>
          <m:t>e</m:t>
        </m:r>
        <m:r>
          <m:t>r</m:t>
        </m:r>
        <m:r>
          <m:rPr>
            <m:sty m:val="p"/>
          </m:rPr>
          <m:t>−</m:t>
        </m:r>
        <m:r>
          <m:t>s</m:t>
        </m:r>
        <m:r>
          <m:t>u</m:t>
        </m:r>
        <m:r>
          <m:t>p</m:t>
        </m:r>
        <m:r>
          <m:t>p</m:t>
        </m:r>
        <m:r>
          <m:t>l</m:t>
        </m:r>
        <m:r>
          <m:t>y</m:t>
        </m:r>
        <m:r>
          <m:t>a</m:t>
        </m:r>
        <m:r>
          <m:t>g</m:t>
        </m:r>
        <m:r>
          <m:t>r</m:t>
        </m:r>
        <m:r>
          <m:t>e</m:t>
        </m:r>
        <m:r>
          <m:t>e</m:t>
        </m:r>
        <m:r>
          <m:t>m</m:t>
        </m:r>
        <m:r>
          <m:t>e</m:t>
        </m:r>
        <m:r>
          <m:t>n</m:t>
        </m:r>
        <m:r>
          <m:t>t</m:t>
        </m:r>
        <m:r>
          <m:rPr>
            <m:sty m:val="p"/>
          </m:rPr>
          <m:t>.</m:t>
        </m:r>
        <m:r>
          <m:t>T</m:t>
        </m:r>
        <m:r>
          <m:t>P</m:t>
        </m:r>
        <m:r>
          <m:t>L</m:t>
        </m:r>
        <m:r>
          <m:t>r</m:t>
        </m:r>
        <m:r>
          <m:t>e</m:t>
        </m:r>
        <m:r>
          <m:t>c</m:t>
        </m:r>
        <m:r>
          <m:t>o</m:t>
        </m:r>
        <m:r>
          <m:t>g</m:t>
        </m:r>
        <m:r>
          <m:t>n</m:t>
        </m:r>
        <m:r>
          <m:t>i</m:t>
        </m:r>
        <m:r>
          <m:t>z</m:t>
        </m:r>
        <m:r>
          <m:t>e</m:t>
        </m:r>
        <m:r>
          <m:t>d</m:t>
        </m:r>
        <m:r>
          <m:t>o</m:t>
        </m:r>
        <m:r>
          <m:t>n</m:t>
        </m:r>
        <m:r>
          <m:t>l</m:t>
        </m:r>
        <m:r>
          <m:t>y</m:t>
        </m:r>
        <m:r>
          <m:rPr>
            <m:sty m:val="p"/>
          </m:rPr>
          <m:t>*</m:t>
        </m:r>
        <m:r>
          <m:rPr>
            <m:sty m:val="p"/>
          </m:rPr>
          <m:t>*</m:t>
        </m:r>
      </m:oMath>
      <w:r>
        <w:rPr>
          <w:b/>
          <w:bCs/>
        </w:rPr>
        <w:t xml:space="preserve">20.9 million</w:t>
      </w:r>
      <w:r>
        <w:t xml:space="preserve"> </w:t>
      </w:r>
      <w:r>
        <w:t xml:space="preserve">of Q1 land-sale revenue because the deferred consideration was discounted and structured as seller financing through 2046.</w:t>
      </w:r>
    </w:p>
    <w:p>
      <w:pPr>
        <w:pStyle w:val="BodyText"/>
      </w:pPr>
      <w:r>
        <w:t xml:space="preserve">Since then, TPL announced an agreement with</w:t>
      </w:r>
      <w:r>
        <w:t xml:space="preserve"> </w:t>
      </w:r>
      <w:r>
        <w:rPr>
          <w:b/>
          <w:bCs/>
        </w:rPr>
        <w:t xml:space="preserve">Chevron</w:t>
      </w:r>
      <w:r>
        <w:t xml:space="preserve"> </w:t>
      </w:r>
      <w:r>
        <w:t xml:space="preserve">relating to</w:t>
      </w:r>
      <w:r>
        <w:t xml:space="preserve"> </w:t>
      </w:r>
      <w:r>
        <w:rPr>
          <w:b/>
          <w:bCs/>
        </w:rPr>
        <w:t xml:space="preserve">Project Kilby</w:t>
      </w:r>
      <w:r>
        <w:t xml:space="preserve">, a large-scale power-generation facility intended to support a customer data center in Reeves County. Under the arrangement, TPL contributed surface acreage for cash consideration and secured the exclusive right to supply aquifer-derived water to the facility and related project infrastructure.</w:t>
      </w:r>
    </w:p>
    <w:p>
      <w:pPr>
        <w:pStyle w:val="BodyText"/>
      </w:pPr>
      <w:r>
        <w:t xml:space="preserve">This matters because it validates the core strategic premise: TPL’s acreage can monetize not just through upstream oil and gas, but through a scarce combination of land, gas-adjacent infrastructure, water access, and surface control.</w:t>
      </w:r>
    </w:p>
    <w:p>
      <w:pPr>
        <w:pStyle w:val="BodyText"/>
      </w:pPr>
      <w:r>
        <w:rPr>
          <w:b/>
          <w:bCs/>
        </w:rPr>
        <w:t xml:space="preserve">Questions for the call</w:t>
      </w:r>
    </w:p>
    <w:p>
      <w:pPr>
        <w:pStyle w:val="Compact"/>
        <w:numPr>
          <w:ilvl w:val="0"/>
          <w:numId w:val="1007"/>
        </w:numPr>
      </w:pPr>
      <w:r>
        <w:t xml:space="preserve">Is Project Kilby expected to produce near-term land, water, easement, or recurring-service revenue?</w:t>
      </w:r>
    </w:p>
    <w:p>
      <w:pPr>
        <w:pStyle w:val="Compact"/>
        <w:numPr>
          <w:ilvl w:val="0"/>
          <w:numId w:val="1007"/>
        </w:numPr>
      </w:pPr>
      <w:r>
        <w:t xml:space="preserve">What is the anticipated development timeline and what milestones must occur before economics are recognized?</w:t>
      </w:r>
    </w:p>
    <w:p>
      <w:pPr>
        <w:pStyle w:val="Compact"/>
        <w:numPr>
          <w:ilvl w:val="0"/>
          <w:numId w:val="1007"/>
        </w:numPr>
      </w:pPr>
      <w:r>
        <w:t xml:space="preserve">Can TPL provide ranges around water volumes, acreage, power scale, or contractual duration?</w:t>
      </w:r>
    </w:p>
    <w:p>
      <w:pPr>
        <w:pStyle w:val="Compact"/>
        <w:numPr>
          <w:ilvl w:val="0"/>
          <w:numId w:val="1007"/>
        </w:numPr>
      </w:pPr>
      <w:r>
        <w:t xml:space="preserve">Are there additional advanced negotiations beyond Chevron and the earlier Q1 project?</w:t>
      </w:r>
    </w:p>
    <w:p>
      <w:pPr>
        <w:pStyle w:val="Compact"/>
        <w:numPr>
          <w:ilvl w:val="0"/>
          <w:numId w:val="1007"/>
        </w:numPr>
      </w:pPr>
      <w:r>
        <w:t xml:space="preserve">How is TPL’s $50 million Bolt Data &amp; Energy investment progressing, and are any Bolt-related projects approaching firm commitments?</w:t>
      </w:r>
    </w:p>
    <w:p>
      <w:pPr>
        <w:pStyle w:val="FirstParagraph"/>
      </w:pPr>
      <w:r>
        <w:t xml:space="preserve">The risk is execution and timing: large power/data-center developments require alignment among developers, hyperscalers, power providers, gas supply, water, financing, and regulators. Investors should value signed contracts and disclosed economics more heavily than broad total-addressable-market commentary.</w:t>
      </w:r>
    </w:p>
    <w:p>
      <w:r>
        <w:pict>
          <v:rect style="width:0;height:1.5pt" o:hralign="center" o:hrstd="t" o:hr="t"/>
        </w:pict>
      </w:r>
    </w:p>
    <w:bookmarkEnd w:id="16"/>
    <w:bookmarkStart w:id="17" w:name="X19b135d1a5bb4a9cb855aa01c624e50f38dbb22"/>
    <w:p>
      <w:pPr>
        <w:pStyle w:val="Heading3"/>
      </w:pPr>
      <w:r>
        <w:t xml:space="preserve">Desalination: the report should establish whether Phase 2B is actually operating</w:t>
      </w:r>
    </w:p>
    <w:p>
      <w:pPr>
        <w:pStyle w:val="FirstParagraph"/>
      </w:pPr>
      <w:r>
        <w:t xml:space="preserve">TPL’s 10,000-barrel-per-day produced-water desalination facility was expected to begin operations in May. In Q1, management said it was nearing completion and expected inlet barrels within weeks. The company has spent approximately</w:t>
      </w:r>
      <w:r>
        <w:t xml:space="preserve"> </w:t>
      </w:r>
      <w:r>
        <w:rPr>
          <w:b/>
          <w:bCs/>
        </w:rPr>
        <w:t xml:space="preserve">$48.3 million cumulatively</w:t>
      </w:r>
      <w:r>
        <w:t xml:space="preserve"> </w:t>
      </w:r>
      <w:r>
        <w:t xml:space="preserve">on the process and related equipment through March 31.</w:t>
      </w:r>
    </w:p>
    <w:p>
      <w:pPr>
        <w:pStyle w:val="BodyText"/>
      </w:pPr>
      <w:r>
        <w:t xml:space="preserve">The facility is an important proof point, but it is not yet a material earnings contributor. Its purpose is to establish commercial-scale operating reliability, unit economics, water quality, waste-heat integration potential, and end-market viability for the water and concentrated-brine output.</w:t>
      </w:r>
    </w:p>
    <w:p>
      <w:pPr>
        <w:pStyle w:val="BodyText"/>
      </w:pPr>
      <w:r>
        <w:rPr>
          <w:b/>
          <w:bCs/>
        </w:rPr>
        <w:t xml:space="preserve">A constructive Q2 update would include</w:t>
      </w:r>
    </w:p>
    <w:p>
      <w:pPr>
        <w:pStyle w:val="Compact"/>
        <w:numPr>
          <w:ilvl w:val="0"/>
          <w:numId w:val="1008"/>
        </w:numPr>
      </w:pPr>
      <w:r>
        <w:t xml:space="preserve">Confirmation that inlet water is flowing and the facility is operating;</w:t>
      </w:r>
    </w:p>
    <w:p>
      <w:pPr>
        <w:pStyle w:val="Compact"/>
        <w:numPr>
          <w:ilvl w:val="0"/>
          <w:numId w:val="1008"/>
        </w:numPr>
      </w:pPr>
      <w:r>
        <w:t xml:space="preserve">Throughput, uptime, and commissioning progress;</w:t>
      </w:r>
    </w:p>
    <w:p>
      <w:pPr>
        <w:pStyle w:val="Compact"/>
        <w:numPr>
          <w:ilvl w:val="0"/>
          <w:numId w:val="1008"/>
        </w:numPr>
      </w:pPr>
      <w:r>
        <w:t xml:space="preserve">Initial water-quality and cost observations;</w:t>
      </w:r>
    </w:p>
    <w:p>
      <w:pPr>
        <w:pStyle w:val="Compact"/>
        <w:numPr>
          <w:ilvl w:val="0"/>
          <w:numId w:val="1008"/>
        </w:numPr>
      </w:pPr>
      <w:r>
        <w:t xml:space="preserve">Clearer views on waste-heat co-location and data-center cooling applications;</w:t>
      </w:r>
    </w:p>
    <w:p>
      <w:pPr>
        <w:pStyle w:val="Compact"/>
        <w:numPr>
          <w:ilvl w:val="0"/>
          <w:numId w:val="1008"/>
        </w:numPr>
      </w:pPr>
      <w:r>
        <w:t xml:space="preserve">An outline of what technical and economic thresholds would be needed before a commercial-scale final investment decision.</w:t>
      </w:r>
    </w:p>
    <w:p>
      <w:pPr>
        <w:pStyle w:val="FirstParagraph"/>
      </w:pPr>
      <w:r>
        <w:t xml:space="preserve">TPL has discussed a possible</w:t>
      </w:r>
      <w:r>
        <w:t xml:space="preserve"> </w:t>
      </w:r>
      <w:r>
        <w:rPr>
          <w:b/>
          <w:bCs/>
        </w:rPr>
        <w:t xml:space="preserve">100,000 bbl/d</w:t>
      </w:r>
      <w:r>
        <w:t xml:space="preserve"> </w:t>
      </w:r>
      <w:r>
        <w:t xml:space="preserve">commercial facility only after Phase 2 results. Therefore, investors should avoid treating Q2 as a likely announcement of a large commercial project; a more realistic positive outcome is credible early operating data and a defined timeline to commercial evaluation.</w:t>
      </w:r>
    </w:p>
    <w:p>
      <w:r>
        <w:pict>
          <v:rect style="width:0;height:1.5pt" o:hralign="center" o:hrstd="t" o:hr="t"/>
        </w:pict>
      </w:r>
    </w:p>
    <w:bookmarkEnd w:id="17"/>
    <w:bookmarkEnd w:id="18"/>
    <w:bookmarkStart w:id="19" w:name="X4318bac305a19cd9a84b07778dd332a8a53a65f"/>
    <w:p>
      <w:pPr>
        <w:pStyle w:val="Heading2"/>
      </w:pPr>
      <w:r>
        <w:t xml:space="preserve">Capital allocation and balance sheet: plenty of flexibility, but near-term cash returns may not be the priority</w:t>
      </w:r>
    </w:p>
    <w:p>
      <w:pPr>
        <w:pStyle w:val="FirstParagraph"/>
      </w:pPr>
      <w:r>
        <w:t xml:space="preserve">At March 31, TPL had:</w:t>
      </w:r>
    </w:p>
    <w:p>
      <w:pPr>
        <w:pStyle w:val="Compact"/>
        <w:numPr>
          <w:ilvl w:val="0"/>
          <w:numId w:val="1009"/>
        </w:numPr>
      </w:pPr>
      <w:r>
        <w:rPr>
          <w:b/>
          <w:bCs/>
        </w:rPr>
        <w:t xml:space="preserve">$247.6 million</w:t>
      </w:r>
      <w:r>
        <w:t xml:space="preserve"> </w:t>
      </w:r>
      <w:r>
        <w:t xml:space="preserve">of cash and cash equivalents;</w:t>
      </w:r>
    </w:p>
    <w:p>
      <w:pPr>
        <w:pStyle w:val="Compact"/>
        <w:numPr>
          <w:ilvl w:val="0"/>
          <w:numId w:val="1009"/>
        </w:numPr>
      </w:pPr>
      <w:r>
        <w:t xml:space="preserve">An</w:t>
      </w:r>
      <w:r>
        <w:t xml:space="preserve"> </w:t>
      </w:r>
      <w:r>
        <w:rPr>
          <w:b/>
          <w:bCs/>
        </w:rPr>
        <w:t xml:space="preserve">undrawn $500 million revolving credit facility</w:t>
      </w:r>
      <w:r>
        <w:t xml:space="preserve">;</w:t>
      </w:r>
    </w:p>
    <w:p>
      <w:pPr>
        <w:pStyle w:val="Compact"/>
        <w:numPr>
          <w:ilvl w:val="0"/>
          <w:numId w:val="1009"/>
        </w:numPr>
      </w:pPr>
      <w:r>
        <w:rPr>
          <w:b/>
          <w:bCs/>
        </w:rPr>
        <w:t xml:space="preserve">$170.2 million</w:t>
      </w:r>
      <w:r>
        <w:t xml:space="preserve"> </w:t>
      </w:r>
      <w:r>
        <w:t xml:space="preserve">remaining under its share-repurchase authorization;</w:t>
      </w:r>
    </w:p>
    <w:p>
      <w:pPr>
        <w:pStyle w:val="Compact"/>
        <w:numPr>
          <w:ilvl w:val="0"/>
          <w:numId w:val="1009"/>
        </w:numPr>
      </w:pPr>
      <w:r>
        <w:t xml:space="preserve">A regular quarterly dividend most recently set at</w:t>
      </w:r>
      <w:r>
        <w:t xml:space="preserve"> </w:t>
      </w:r>
      <w:r>
        <w:rPr>
          <w:b/>
          <w:bCs/>
        </w:rPr>
        <w:t xml:space="preserve">$0.60 per share</w:t>
      </w:r>
      <w:r>
        <w:t xml:space="preserve">.</w:t>
      </w:r>
    </w:p>
    <w:p>
      <w:pPr>
        <w:pStyle w:val="FirstParagraph"/>
      </w:pPr>
      <w:r>
        <w:t xml:space="preserve">Management has stated a target cash balance of approximately</w:t>
      </w:r>
      <w:r>
        <w:t xml:space="preserve"> </w:t>
      </w:r>
      <w:r>
        <w:rPr>
          <w:b/>
          <w:bCs/>
        </w:rPr>
        <w:t xml:space="preserve">$700 million</w:t>
      </w:r>
      <w:r>
        <w:t xml:space="preserve"> </w:t>
      </w:r>
      <w:r>
        <w:t xml:space="preserve">and intends to deploy the majority of free cash flow above that threshold toward special dividends and/or repurchases. Since cash was materially below that target at quarter-end, investors should not assume aggressive near-term distributions, particularly as the company assesses acquisitions, water-system expansions, data-center opportunities, and desalination commercialization structures.</w:t>
      </w:r>
    </w:p>
    <w:p>
      <w:pPr>
        <w:pStyle w:val="BodyText"/>
      </w:pPr>
      <w:r>
        <w:t xml:space="preserve">The more relevant Q2 capital-allocation question is whether management preserves its historically capital-light profile while funding new growth projects. A capital-light partnering, licensing, or joint-venture structure for desalination would likely be viewed more favorably than a large, wholly funded development program.</w:t>
      </w:r>
    </w:p>
    <w:p>
      <w:r>
        <w:pict>
          <v:rect style="width:0;height:1.5pt" o:hralign="center" o:hrstd="t" o:hr="t"/>
        </w:pict>
      </w:r>
    </w:p>
    <w:bookmarkEnd w:id="19"/>
    <w:bookmarkStart w:id="20" w:name="share-price-setup"/>
    <w:p>
      <w:pPr>
        <w:pStyle w:val="Heading2"/>
      </w:pPr>
      <w:r>
        <w:t xml:space="preserve">Share-price setup</w:t>
      </w:r>
    </w:p>
    <w:p>
      <w:pPr>
        <w:pStyle w:val="FirstParagraph"/>
      </w:pPr>
      <w:r>
        <w:t xml:space="preserve">TPL closed at</w:t>
      </w:r>
      <w:r>
        <w:t xml:space="preserve"> </w:t>
      </w:r>
      <w:r>
        <w:rPr>
          <w:b/>
          <w:bCs/>
        </w:rPr>
        <w:t xml:space="preserve">$395.56 on August 4, 2026</w:t>
      </w:r>
      <w:r>
        <w:t xml:space="preserve">, down about</w:t>
      </w:r>
      <w:r>
        <w:t xml:space="preserve"> </w:t>
      </w:r>
      <w:r>
        <w:rPr>
          <w:b/>
          <w:bCs/>
        </w:rPr>
        <w:t xml:space="preserve">6% from the May 6 Q1-results close</w:t>
      </w:r>
      <w:r>
        <w:t xml:space="preserve"> </w:t>
      </w:r>
      <w:r>
        <w:t xml:space="preserve">and roughly</w:t>
      </w:r>
      <w:r>
        <w:t xml:space="preserve"> </w:t>
      </w:r>
      <w:r>
        <w:rPr>
          <w:b/>
          <w:bCs/>
        </w:rPr>
        <w:t xml:space="preserve">17% below its March 31 close</w:t>
      </w:r>
      <w:r>
        <w:t xml:space="preserve">, despite the strengthening strategic narrative around power/data centers and elevated oil prices during portions of the period.</w:t>
      </w:r>
    </w:p>
    <w:p>
      <w:pPr>
        <w:pStyle w:val="BodyText"/>
      </w:pPr>
      <w:r>
        <w:t xml:space="preserve">That setup suggests investors remain focused on execution risk and the gap between strategic opportunity and reported cash flow. A solid operational quarter combined with quantifiable updates on water recovery, Project Kilby, and desalination could help narrow that gap. Conversely, a merely in-line quarter with limited detail on commercial milestones may reinforce the view that the optionality remains long dated.</w:t>
      </w:r>
    </w:p>
    <w:p>
      <w:r>
        <w:pict>
          <v:rect style="width:0;height:1.5pt" o:hralign="center" o:hrstd="t" o:hr="t"/>
        </w:pict>
      </w:r>
    </w:p>
    <w:bookmarkEnd w:id="20"/>
    <w:bookmarkStart w:id="22" w:name="bottom-line"/>
    <w:p>
      <w:pPr>
        <w:pStyle w:val="Heading2"/>
      </w:pPr>
      <w:r>
        <w:t xml:space="preserve">Bottom line</w:t>
      </w:r>
    </w:p>
    <w:p>
      <w:pPr>
        <w:pStyle w:val="FirstParagraph"/>
      </w:pPr>
      <w:r>
        <w:rPr>
          <w:b/>
          <w:bCs/>
        </w:rPr>
        <w:t xml:space="preserve">The highest-priority Q2 KPIs are production, water-sales recovery, and produced-water volumes—not headline revenue alone.</w:t>
      </w:r>
      <w:r>
        <w:t xml:space="preserve"> </w:t>
      </w:r>
      <w:r>
        <w:t xml:space="preserve">Q1’s record reported results included a one-time land-sale contribution, so underlying performance must carry the investment case this quarter.</w:t>
      </w:r>
    </w:p>
    <w:p>
      <w:pPr>
        <w:pStyle w:val="BodyText"/>
      </w:pPr>
      <w:r>
        <w:t xml:space="preserve">The upside case is straightforward:</w:t>
      </w:r>
    </w:p>
    <w:p>
      <w:pPr>
        <w:pStyle w:val="Compact"/>
        <w:numPr>
          <w:ilvl w:val="0"/>
          <w:numId w:val="1010"/>
        </w:numPr>
      </w:pPr>
      <w:r>
        <w:t xml:space="preserve">Higher realized commodity prices flow through an unhedged royalty base;</w:t>
      </w:r>
    </w:p>
    <w:p>
      <w:pPr>
        <w:pStyle w:val="Compact"/>
        <w:numPr>
          <w:ilvl w:val="0"/>
          <w:numId w:val="1010"/>
        </w:numPr>
      </w:pPr>
      <w:r>
        <w:t xml:space="preserve">Permian completions and longer laterals support production;</w:t>
      </w:r>
    </w:p>
    <w:p>
      <w:pPr>
        <w:pStyle w:val="Compact"/>
        <w:numPr>
          <w:ilvl w:val="0"/>
          <w:numId w:val="1010"/>
        </w:numPr>
      </w:pPr>
      <w:r>
        <w:t xml:space="preserve">Water sales rebound after Q1 softness;</w:t>
      </w:r>
    </w:p>
    <w:p>
      <w:pPr>
        <w:pStyle w:val="Compact"/>
        <w:numPr>
          <w:ilvl w:val="0"/>
          <w:numId w:val="1010"/>
        </w:numPr>
      </w:pPr>
      <w:r>
        <w:t xml:space="preserve">Produced-water royalties resume volume growth; and</w:t>
      </w:r>
    </w:p>
    <w:p>
      <w:pPr>
        <w:pStyle w:val="Compact"/>
        <w:numPr>
          <w:ilvl w:val="0"/>
          <w:numId w:val="1010"/>
        </w:numPr>
      </w:pPr>
      <w:r>
        <w:t xml:space="preserve">Chevron’s Project Kilby and the desalination facility provide concrete evidence that TPL’s next growth leg is becoming commercial.</w:t>
      </w:r>
    </w:p>
    <w:p>
      <w:pPr>
        <w:pStyle w:val="FirstParagraph"/>
      </w:pPr>
      <w:r>
        <w:t xml:space="preserve">The principal risk is that core water activity remains soft while data-center and desalination opportunities stay strategic but economically unquantified. For TPL, the Q2 release should be evaluated as much on the</w:t>
      </w:r>
      <w:r>
        <w:t xml:space="preserve"> </w:t>
      </w:r>
      <w:r>
        <w:rPr>
          <w:b/>
          <w:bCs/>
        </w:rPr>
        <w:t xml:space="preserve">quality and specificity of forward milestones</w:t>
      </w:r>
      <w:r>
        <w:t xml:space="preserve"> </w:t>
      </w:r>
      <w:r>
        <w:t xml:space="preserve">as on the quarter’s reported EPS.</w:t>
      </w:r>
    </w:p>
    <w:p>
      <w:r>
        <w:pict>
          <v:rect style="width:0;height:1.5pt" o:hralign="center" o:hrstd="t" o:hr="t"/>
        </w:pict>
      </w:r>
    </w:p>
    <w:bookmarkStart w:id="21" w:name="key-source-materials-reviewed"/>
    <w:p>
      <w:pPr>
        <w:pStyle w:val="Heading3"/>
      </w:pPr>
      <w:r>
        <w:t xml:space="preserve">Key source materials reviewed</w:t>
      </w:r>
    </w:p>
    <w:p>
      <w:pPr>
        <w:pStyle w:val="Compact"/>
        <w:numPr>
          <w:ilvl w:val="0"/>
          <w:numId w:val="1011"/>
        </w:numPr>
      </w:pPr>
      <w:r>
        <w:t xml:space="preserve">TPL Q1 2026 earnings release and Form 10-Q</w:t>
      </w:r>
    </w:p>
    <w:p>
      <w:pPr>
        <w:pStyle w:val="Compact"/>
        <w:numPr>
          <w:ilvl w:val="0"/>
          <w:numId w:val="1011"/>
        </w:numPr>
      </w:pPr>
      <w:r>
        <w:t xml:space="preserve">TPL Q1 2026 earnings-call transcript</w:t>
      </w:r>
    </w:p>
    <w:p>
      <w:pPr>
        <w:pStyle w:val="Compact"/>
        <w:numPr>
          <w:ilvl w:val="0"/>
          <w:numId w:val="1011"/>
        </w:numPr>
      </w:pPr>
      <w:r>
        <w:t xml:space="preserve">TPL May 2026 investor presentation</w:t>
      </w:r>
    </w:p>
    <w:p>
      <w:pPr>
        <w:pStyle w:val="Compact"/>
        <w:numPr>
          <w:ilvl w:val="0"/>
          <w:numId w:val="1011"/>
        </w:numPr>
      </w:pPr>
      <w:r>
        <w:t xml:space="preserve">TPL June 23, 2026 Chevron Project Kilby announcement</w:t>
      </w:r>
    </w:p>
    <w:p>
      <w:pPr>
        <w:pStyle w:val="Compact"/>
        <w:numPr>
          <w:ilvl w:val="0"/>
          <w:numId w:val="1011"/>
        </w:numPr>
      </w:pPr>
      <w:r>
        <w:t xml:space="preserve">TPL July 15, 2026 Q2 earnings-date announcement</w:t>
      </w:r>
    </w:p>
    <w:p>
      <w:pPr>
        <w:pStyle w:val="Compact"/>
        <w:numPr>
          <w:ilvl w:val="0"/>
          <w:numId w:val="1011"/>
        </w:numPr>
      </w:pPr>
      <w:r>
        <w:t xml:space="preserve">TPL historical share-price data through August 4, 2026</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2026-08-05T01:45:14Z</dcterms:created>
  <dcterms:modified xsi:type="dcterms:W3CDTF">2026-08-05T01:45:14Z</dcterms:modified>
</cp:coreProperties>
</file>

<file path=docProps/custom.xml><?xml version="1.0" encoding="utf-8"?>
<Properties xmlns="http://schemas.openxmlformats.org/officeDocument/2006/custom-properties" xmlns:vt="http://schemas.openxmlformats.org/officeDocument/2006/docPropsVTypes"/>
</file>