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Texas Pacific Land Corporation (TPL)</w:t>
      </w:r>
    </w:p>
    <w:p>
      <w:r>
        <w:rPr>
          <w:rFonts w:ascii="Calibri" w:hAnsi="Calibri"/>
          <w:color w:val="525866"/>
          <w:sz w:val="22"/>
        </w:rPr>
        <w:t>Earnings Preview  |  Q2 2026  |  Prepared: August 4, 2026  |  Earnings Expected: Mid-August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beatable bar on royalty production and revenue, but the bigger swing factor is whether the oil price spike that began in late Q1 translates into a meaningful sequential step-up in realized prices and EBITDA margin recovery in Q2.</w:t>
      </w:r>
    </w:p>
    <w:p>
      <w:r>
        <w:rPr>
          <w:rFonts w:ascii="Calibri" w:hAnsi="Calibri"/>
          <w:color w:val="525866"/>
          <w:sz w:val="22"/>
        </w:rPr>
        <w:t>Heading into Q2 2026, the bar for TPL looks achievable: consensus expects total revenue of ~$250M (+5% sequentially vs. Q1's record $237M) and adjusted EBITDA of ~$211M, implying a modest margin recovery from Q1's compressed ~76% level. Management's tone on the Q1 call was notably more bullish — crude oil prices had "spiked dramatically" and TPL, fully unhedged, is "directly capturing the upside" — yet the company acknowledged only a "marginal uptick" in Permian operator activity, meaning the volume tailwind may lag the price tailwind by a quarter or two. Estimate revisions since the May 6 print have been modestly positive, with Q2 revenue consensus moving from ~$272M (post-print baseline) down to ~$250M, suggesting the street has tempered initial enthusiasm, creating a lower bar. The stock has underperformed both XOP (+1.5%) and the S&amp;P 500 (+5.1%) since Q1 earnings, declining ~5.8% to ~$396, which at ~45x forward P/E still prices in significant optionality on data center/power generation deals and a sustained oil price environment. The key wildcard is the pace of additional data center land and water supply agreements — the Q1 non-Bolt deal was the first concrete proof point, and any new announcement before or alongside Q2 results could be a meaningful positive catalyst independent of the core royalty/water numbers.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revenue and production, but EBITDA margin is the swing factor — Q1's compression was the key miss and any recovery in Q2 would be a positive surprise. Royalty production (BOE/d) is the single most-watched volume KPI; consensus at ~38,530 BOE/d implies only modest sequential growth from Q1's 37,100 BOE/d.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$236.8M</w:t>
            </w:r>
          </w:p>
        </w:tc>
        <w:tc>
          <w:tcPr>
            <w:tcW w:type="dxa" w:w="1234"/>
          </w:tcPr>
          <w:p>
            <w:r>
              <w:rPr>
                <w:rFonts w:ascii="Calibri" w:hAnsi="Calibri"/>
                <w:sz w:val="22"/>
              </w:rPr>
              <w:t>$187.5M</w:t>
            </w:r>
          </w:p>
        </w:tc>
        <w:tc>
          <w:tcPr>
            <w:tcW w:type="dxa" w:w="1234"/>
          </w:tcPr>
          <w:p>
            <w:r>
              <w:rPr>
                <w:rFonts w:ascii="Calibri" w:hAnsi="Calibri"/>
                <w:sz w:val="22"/>
              </w:rPr>
              <w:t>$249.6M</w:t>
            </w:r>
          </w:p>
        </w:tc>
        <w:tc>
          <w:tcPr>
            <w:tcW w:type="dxa" w:w="1234"/>
          </w:tcPr>
          <w:p>
            <w:r>
              <w:rPr>
                <w:rFonts w:ascii="Calibri" w:hAnsi="Calibri"/>
                <w:sz w:val="22"/>
              </w:rPr>
              <w:t>+33.1%</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$198.6M</w:t>
            </w:r>
          </w:p>
        </w:tc>
        <w:tc>
          <w:tcPr>
            <w:tcW w:type="dxa" w:w="1234"/>
          </w:tcPr>
          <w:p>
            <w:r>
              <w:rPr>
                <w:rFonts w:ascii="Calibri" w:hAnsi="Calibri"/>
                <w:sz w:val="22"/>
              </w:rPr>
              <w:t>$162.7M</w:t>
            </w:r>
          </w:p>
        </w:tc>
        <w:tc>
          <w:tcPr>
            <w:tcW w:type="dxa" w:w="1234"/>
          </w:tcPr>
          <w:p>
            <w:r>
              <w:rPr>
                <w:rFonts w:ascii="Calibri" w:hAnsi="Calibri"/>
                <w:sz w:val="22"/>
              </w:rPr>
              <w:t>$210.6M</w:t>
            </w:r>
          </w:p>
        </w:tc>
        <w:tc>
          <w:tcPr>
            <w:tcW w:type="dxa" w:w="1234"/>
          </w:tcPr>
          <w:p>
            <w:r>
              <w:rPr>
                <w:rFonts w:ascii="Calibri" w:hAnsi="Calibri"/>
                <w:sz w:val="22"/>
              </w:rPr>
              <w:t>+29.4%</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EPS — Diluted ($)</w:t>
            </w:r>
          </w:p>
        </w:tc>
        <w:tc>
          <w:tcPr>
            <w:tcW w:type="dxa" w:w="1234"/>
          </w:tcPr>
          <w:p>
            <w:r>
              <w:rPr>
                <w:rFonts w:ascii="Calibri" w:hAnsi="Calibri"/>
                <w:sz w:val="22"/>
              </w:rPr>
              <w:t>$2.07</w:t>
            </w:r>
          </w:p>
        </w:tc>
        <w:tc>
          <w:tcPr>
            <w:tcW w:type="dxa" w:w="1234"/>
          </w:tcPr>
          <w:p>
            <w:r>
              <w:rPr>
                <w:rFonts w:ascii="Calibri" w:hAnsi="Calibri"/>
                <w:sz w:val="22"/>
              </w:rPr>
              <w:t>$1.68</w:t>
            </w:r>
          </w:p>
        </w:tc>
        <w:tc>
          <w:tcPr>
            <w:tcW w:type="dxa" w:w="1234"/>
          </w:tcPr>
          <w:p>
            <w:r>
              <w:rPr>
                <w:rFonts w:ascii="Calibri" w:hAnsi="Calibri"/>
                <w:sz w:val="22"/>
              </w:rPr>
              <w:t>$2.19</w:t>
            </w:r>
          </w:p>
        </w:tc>
        <w:tc>
          <w:tcPr>
            <w:tcW w:type="dxa" w:w="1234"/>
          </w:tcPr>
          <w:p>
            <w:r>
              <w:rPr>
                <w:rFonts w:ascii="Calibri" w:hAnsi="Calibri"/>
                <w:sz w:val="22"/>
              </w:rPr>
              <w:t>+30.2%</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Royalty Production (BOE/d)</w:t>
            </w:r>
          </w:p>
        </w:tc>
        <w:tc>
          <w:tcPr>
            <w:tcW w:type="dxa" w:w="1234"/>
          </w:tcPr>
          <w:p>
            <w:r>
              <w:rPr>
                <w:rFonts w:ascii="Calibri" w:hAnsi="Calibri"/>
                <w:sz w:val="22"/>
              </w:rPr>
              <w:t>37,100</w:t>
            </w:r>
          </w:p>
        </w:tc>
        <w:tc>
          <w:tcPr>
            <w:tcW w:type="dxa" w:w="1234"/>
          </w:tcPr>
          <w:p>
            <w:r>
              <w:rPr>
                <w:rFonts w:ascii="Calibri" w:hAnsi="Calibri"/>
                <w:sz w:val="22"/>
              </w:rPr>
              <w:t>33,200</w:t>
            </w:r>
          </w:p>
        </w:tc>
        <w:tc>
          <w:tcPr>
            <w:tcW w:type="dxa" w:w="1234"/>
          </w:tcPr>
          <w:p>
            <w:r>
              <w:rPr>
                <w:rFonts w:ascii="Calibri" w:hAnsi="Calibri"/>
                <w:sz w:val="22"/>
              </w:rPr>
              <w:t>38,530</w:t>
            </w:r>
          </w:p>
        </w:tc>
        <w:tc>
          <w:tcPr>
            <w:tcW w:type="dxa" w:w="1234"/>
          </w:tcPr>
          <w:p>
            <w:r>
              <w:rPr>
                <w:rFonts w:ascii="Calibri" w:hAnsi="Calibri"/>
                <w:sz w:val="22"/>
              </w:rPr>
              <w:t>+16.1%</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Water Sales Revenue ($M)</w:t>
            </w:r>
          </w:p>
        </w:tc>
        <w:tc>
          <w:tcPr>
            <w:tcW w:type="dxa" w:w="1234"/>
          </w:tcPr>
          <w:p>
            <w:r>
              <w:rPr>
                <w:rFonts w:ascii="Calibri" w:hAnsi="Calibri"/>
                <w:sz w:val="22"/>
              </w:rPr>
              <w:t>$46.9M</w:t>
            </w:r>
          </w:p>
        </w:tc>
        <w:tc>
          <w:tcPr>
            <w:tcW w:type="dxa" w:w="1234"/>
          </w:tcPr>
          <w:p>
            <w:r>
              <w:rPr>
                <w:rFonts w:ascii="Calibri" w:hAnsi="Calibri"/>
                <w:sz w:val="22"/>
              </w:rPr>
              <w:t>$25.6M</w:t>
            </w:r>
          </w:p>
        </w:tc>
        <w:tc>
          <w:tcPr>
            <w:tcW w:type="dxa" w:w="1234"/>
          </w:tcPr>
          <w:p>
            <w:r>
              <w:rPr>
                <w:rFonts w:ascii="Calibri" w:hAnsi="Calibri"/>
                <w:sz w:val="22"/>
              </w:rPr>
              <w:t>$51.5M</w:t>
            </w:r>
          </w:p>
        </w:tc>
        <w:tc>
          <w:tcPr>
            <w:tcW w:type="dxa" w:w="1234"/>
          </w:tcPr>
          <w:p>
            <w:r>
              <w:rPr>
                <w:rFonts w:ascii="Calibri" w:hAnsi="Calibri"/>
                <w:sz w:val="22"/>
              </w:rPr>
              <w:t>+101.4%</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Produced Water Royalties ($M)</w:t>
            </w:r>
          </w:p>
        </w:tc>
        <w:tc>
          <w:tcPr>
            <w:tcW w:type="dxa" w:w="1234"/>
          </w:tcPr>
          <w:p>
            <w:r>
              <w:rPr>
                <w:rFonts w:ascii="Calibri" w:hAnsi="Calibri"/>
                <w:sz w:val="22"/>
              </w:rPr>
              <w:t>$33.5M</w:t>
            </w:r>
          </w:p>
        </w:tc>
        <w:tc>
          <w:tcPr>
            <w:tcW w:type="dxa" w:w="1234"/>
          </w:tcPr>
          <w:p>
            <w:r>
              <w:rPr>
                <w:rFonts w:ascii="Calibri" w:hAnsi="Calibri"/>
                <w:sz w:val="22"/>
              </w:rPr>
              <w:t>$30.7M</w:t>
            </w:r>
          </w:p>
        </w:tc>
        <w:tc>
          <w:tcPr>
            <w:tcW w:type="dxa" w:w="1234"/>
          </w:tcPr>
          <w:p>
            <w:r>
              <w:rPr>
                <w:rFonts w:ascii="Calibri" w:hAnsi="Calibri"/>
                <w:sz w:val="22"/>
              </w:rPr>
              <w:t>$35.8M</w:t>
            </w:r>
          </w:p>
        </w:tc>
        <w:tc>
          <w:tcPr>
            <w:tcW w:type="dxa" w:w="1234"/>
          </w:tcPr>
          <w:p>
            <w:r>
              <w:rPr>
                <w:rFonts w:ascii="Calibri" w:hAnsi="Calibri"/>
                <w:sz w:val="22"/>
              </w:rPr>
              <w:t>+16.5%</w:t>
            </w:r>
          </w:p>
        </w:tc>
        <w:tc>
          <w:tcPr>
            <w:tcW w:type="dxa" w:w="1234"/>
          </w:tcPr>
          <w:p>
            <w:r>
              <w:rPr>
                <w:rFonts w:ascii="Calibri" w:hAnsi="Calibri"/>
                <w:sz w:val="22"/>
              </w:rPr>
              <w:t>No formal Q2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$154.7M</w:t>
            </w:r>
          </w:p>
        </w:tc>
        <w:tc>
          <w:tcPr>
            <w:tcW w:type="dxa" w:w="1234"/>
          </w:tcPr>
          <w:p>
            <w:r>
              <w:rPr>
                <w:rFonts w:ascii="Calibri" w:hAnsi="Calibri"/>
                <w:sz w:val="22"/>
              </w:rPr>
              <w:t>$117.6M</w:t>
            </w:r>
          </w:p>
        </w:tc>
        <w:tc>
          <w:tcPr>
            <w:tcW w:type="dxa" w:w="1234"/>
          </w:tcPr>
          <w:p>
            <w:r>
              <w:rPr>
                <w:rFonts w:ascii="Calibri" w:hAnsi="Calibri"/>
                <w:sz w:val="22"/>
              </w:rPr>
              <w:t>$153.5M</w:t>
            </w:r>
          </w:p>
        </w:tc>
        <w:tc>
          <w:tcPr>
            <w:tcW w:type="dxa" w:w="1234"/>
          </w:tcPr>
          <w:p>
            <w:r>
              <w:rPr>
                <w:rFonts w:ascii="Calibri" w:hAnsi="Calibri"/>
                <w:sz w:val="22"/>
              </w:rPr>
              <w:t>+30.5%</w:t>
            </w:r>
          </w:p>
        </w:tc>
        <w:tc>
          <w:tcPr>
            <w:tcW w:type="dxa" w:w="1234"/>
          </w:tcPr>
          <w:p>
            <w:r>
              <w:rPr>
                <w:rFonts w:ascii="Calibri" w:hAnsi="Calibri"/>
                <w:sz w:val="22"/>
              </w:rPr>
              <w:t>No formal Q2 guidance</w:t>
            </w:r>
          </w:p>
        </w:tc>
        <w:tc>
          <w:tcPr>
            <w:tcW w:type="dxa" w:w="1234"/>
          </w:tcPr>
          <w:p>
            <w:r>
              <w:rPr>
                <w:rFonts w:ascii="Calibri" w:hAnsi="Calibri"/>
                <w:sz w:val="22"/>
              </w:rPr>
              <w:t>N/A</w:t>
            </w:r>
          </w:p>
        </w:tc>
      </w:tr>
    </w:tbl>
    <w:p>
      <w:r>
        <w:rPr>
          <w:rFonts w:ascii="Calibri" w:hAnsi="Calibri"/>
          <w:i/>
          <w:color w:val="525866"/>
          <w:sz w:val="22"/>
        </w:rPr>
        <w:t>Source: Visible Alpha consensus and actuals. Q2 2026 consensus as of August 4, 2026. TPL does not provide formal quarterly guidance; FY 2026 CapEx guidance of $65–$75M was provided on the Q4 2025 earnings call.</w:t>
      </w:r>
    </w:p>
    <w:p>
      <w:pPr>
        <w:pStyle w:val="Heading3"/>
      </w:pPr>
      <w:r>
        <w:rPr>
          <w:rFonts w:ascii="Calibri" w:hAnsi="Calibri"/>
          <w:b/>
          <w:color w:val="3B4259"/>
          <w:sz w:val="24"/>
        </w:rPr>
        <w:t>Table 2 — Beat/Miss History (Last 8 Quarters)</w:t>
      </w:r>
    </w:p>
    <w:p>
      <w:r>
        <w:rPr>
          <w:rFonts w:ascii="Calibri" w:hAnsi="Calibri"/>
          <w:b/>
          <w:color w:val="525866"/>
          <w:sz w:val="22"/>
        </w:rPr>
        <w:t>Top KPI #1: Royalty Production (Oil Equivalent BOE/d)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(BOE/d)</w:t>
            </w:r>
          </w:p>
        </w:tc>
        <w:tc>
          <w:tcPr>
            <w:tcW w:type="dxa" w:w="1728"/>
            <w:shd w:val="clear" w:color="auto" w:fill="3B4259"/>
          </w:tcPr>
          <w:p>
            <w:r>
              <w:rPr>
                <w:rFonts w:ascii="Calibri" w:hAnsi="Calibri"/>
                <w:b/>
                <w:color w:val="FFFFFF"/>
                <w:sz w:val="22"/>
              </w:rPr>
              <w:t>Consensus (BOE/d)</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24,900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28,300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29,100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31,100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33,200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36,300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37,500</w:t>
            </w:r>
          </w:p>
        </w:tc>
        <w:tc>
          <w:tcPr>
            <w:tcW w:type="dxa" w:w="1728"/>
          </w:tcPr>
          <w:p>
            <w:r>
              <w:rPr>
                <w:rFonts w:ascii="Calibri" w:hAnsi="Calibri"/>
                <w:sz w:val="22"/>
              </w:rPr>
              <w:t>39,339</w:t>
            </w:r>
          </w:p>
        </w:tc>
        <w:tc>
          <w:tcPr>
            <w:tcW w:type="dxa" w:w="1728"/>
          </w:tcPr>
          <w:p>
            <w:r>
              <w:rPr>
                <w:rFonts w:ascii="Calibri" w:hAnsi="Calibri"/>
                <w:b/>
                <w:color w:val="E5484D"/>
                <w:sz w:val="22"/>
              </w:rPr>
              <w:t>−4.2%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37,100</w:t>
            </w:r>
          </w:p>
        </w:tc>
        <w:tc>
          <w:tcPr>
            <w:tcW w:type="dxa" w:w="1728"/>
          </w:tcPr>
          <w:p>
            <w:r>
              <w:rPr>
                <w:rFonts w:ascii="Calibri" w:hAnsi="Calibri"/>
                <w:sz w:val="22"/>
              </w:rPr>
              <w:t>39,250</w:t>
            </w:r>
          </w:p>
        </w:tc>
        <w:tc>
          <w:tcPr>
            <w:tcW w:type="dxa" w:w="1728"/>
          </w:tcPr>
          <w:p>
            <w:r>
              <w:rPr>
                <w:rFonts w:ascii="Calibri" w:hAnsi="Calibri"/>
                <w:b/>
                <w:color w:val="E5484D"/>
                <w:sz w:val="22"/>
              </w:rPr>
              <w:t>−5.5%</w:t>
            </w:r>
          </w:p>
        </w:tc>
        <w:tc>
          <w:tcPr>
            <w:tcW w:type="dxa" w:w="1728"/>
          </w:tcPr>
          <w:p>
            <w:r>
              <w:rPr>
                <w:rFonts w:ascii="Calibri" w:hAnsi="Calibri"/>
                <w:b/>
                <w:color w:val="E5484D"/>
                <w:sz w:val="22"/>
              </w:rPr>
              <w:t>Miss</w:t>
            </w:r>
          </w:p>
        </w:tc>
      </w:tr>
    </w:tbl>
    <w:p>
      <w:r>
        <w:rPr>
          <w:rFonts w:ascii="Calibri" w:hAnsi="Calibri"/>
          <w:b/>
          <w:color w:val="525866"/>
          <w:sz w:val="22"/>
        </w:rPr>
        <w:t xml:space="preserve">Note: </w:t>
      </w:r>
      <w:r>
        <w:rPr>
          <w:rFonts w:ascii="Calibri" w:hAnsi="Calibri"/>
          <w:color w:val="525866"/>
          <w:sz w:val="22"/>
        </w:rPr>
        <w:t>Historical consensus for Q2–Q3 2025 and earlier quarters was not available in Visible Alpha at the time of this report. Q4 2025 and Q1 2026 consensus figures are from Visible Alpha. Royalty production has missed consensus in each of the last two reported quarters, suggesting the street has been too optimistic on volume ramp.</w:t>
      </w:r>
    </w:p>
    <w:p>
      <w:r>
        <w:rPr>
          <w:rFonts w:ascii="Calibri" w:hAnsi="Calibri"/>
          <w:b/>
          <w:color w:val="525866"/>
          <w:sz w:val="22"/>
        </w:rPr>
        <w:t>Top KPI #2: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$150.5M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$141.2M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$162.4M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$166.3M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$162.7M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2025</w:t>
            </w:r>
          </w:p>
        </w:tc>
        <w:tc>
          <w:tcPr>
            <w:tcW w:type="dxa" w:w="1728"/>
          </w:tcPr>
          <w:p>
            <w:r>
              <w:rPr>
                <w:rFonts w:ascii="Calibri" w:hAnsi="Calibri"/>
                <w:sz w:val="22"/>
              </w:rPr>
              <w:t>$170.1M</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2025</w:t>
            </w:r>
          </w:p>
        </w:tc>
        <w:tc>
          <w:tcPr>
            <w:tcW w:type="dxa" w:w="1728"/>
          </w:tcPr>
          <w:p>
            <w:r>
              <w:rPr>
                <w:rFonts w:ascii="Calibri" w:hAnsi="Calibri"/>
                <w:sz w:val="22"/>
              </w:rPr>
              <w:t>$174.4M</w:t>
            </w:r>
          </w:p>
        </w:tc>
        <w:tc>
          <w:tcPr>
            <w:tcW w:type="dxa" w:w="1728"/>
          </w:tcPr>
          <w:p>
            <w:r>
              <w:rPr>
                <w:rFonts w:ascii="Calibri" w:hAnsi="Calibri"/>
                <w:sz w:val="22"/>
              </w:rPr>
              <w:t>$168.6M</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$198.6M</w:t>
            </w:r>
          </w:p>
        </w:tc>
        <w:tc>
          <w:tcPr>
            <w:tcW w:type="dxa" w:w="1728"/>
          </w:tcPr>
          <w:p>
            <w:r>
              <w:rPr>
                <w:rFonts w:ascii="Calibri" w:hAnsi="Calibri"/>
                <w:sz w:val="22"/>
              </w:rPr>
              <w:t>$198.4M</w:t>
            </w:r>
          </w:p>
        </w:tc>
        <w:tc>
          <w:tcPr>
            <w:tcW w:type="dxa" w:w="1728"/>
          </w:tcPr>
          <w:p>
            <w:r>
              <w:rPr>
                <w:rFonts w:ascii="Calibri" w:hAnsi="Calibri"/>
                <w:sz w:val="22"/>
              </w:rPr>
              <w:t>+0.1%</w:t>
            </w:r>
          </w:p>
        </w:tc>
        <w:tc>
          <w:tcPr>
            <w:tcW w:type="dxa" w:w="1728"/>
          </w:tcPr>
          <w:p>
            <w:r>
              <w:rPr>
                <w:rFonts w:ascii="Calibri" w:hAnsi="Calibri"/>
                <w:sz w:val="22"/>
              </w:rPr>
              <w:t>In Line</w:t>
            </w:r>
          </w:p>
        </w:tc>
      </w:tr>
    </w:tbl>
    <w:p>
      <w:r>
        <w:rPr>
          <w:rFonts w:ascii="Calibri" w:hAnsi="Calibri"/>
          <w:color w:val="525866"/>
          <w:sz w:val="22"/>
        </w:rPr>
        <w:t>Source: Visible Alpha actuals and consensus. Historical consensus prior to Q4 2025 not available in VA. EBITDA has been roughly in line to slightly above consensus in recent quarters; the pattern of royalty production misses is the more notable trend.</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TPL does not provide formal quarterly guidance; the only standing guidance is FY 2026 CapEx of $65–$75M (set on the Q4 2025 call). Management tone has shifted materially since Q4 2025 — from "countercyclical resilience in a weak oil price environment" to "fully capturing the direct upside from elevated oil prices" — a bullish pivot that has not been walked back.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 Feb 19,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CapEx</w:t>
            </w:r>
          </w:p>
        </w:tc>
        <w:tc>
          <w:tcPr>
            <w:tcW w:type="dxa" w:w="1728"/>
          </w:tcPr>
          <w:p>
            <w:r>
              <w:rPr>
                <w:rFonts w:ascii="Calibri" w:hAnsi="Calibri"/>
                <w:sz w:val="22"/>
              </w:rPr>
              <w:t>$65M – $75M</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$20M allocated to desalination/data center co-location; remainder for water sales business. No post-earnings revision.</w:t>
            </w:r>
          </w:p>
        </w:tc>
      </w:tr>
      <w:tr>
        <w:tc>
          <w:tcPr>
            <w:tcW w:type="dxa" w:w="1728"/>
          </w:tcPr>
          <w:p>
            <w:r>
              <w:rPr>
                <w:rFonts w:ascii="Calibri" w:hAnsi="Calibri"/>
                <w:sz w:val="22"/>
              </w:rPr>
              <w:t>Royalty Production (FY 2026)</w:t>
            </w:r>
          </w:p>
        </w:tc>
        <w:tc>
          <w:tcPr>
            <w:tcW w:type="dxa" w:w="1728"/>
          </w:tcPr>
          <w:p>
            <w:r>
              <w:rPr>
                <w:rFonts w:ascii="Calibri" w:hAnsi="Calibri"/>
                <w:sz w:val="22"/>
              </w:rPr>
              <w:t>No formal guidance provided</w:t>
            </w:r>
          </w:p>
        </w:tc>
        <w:tc>
          <w:tcPr>
            <w:tcW w:type="dxa" w:w="1728"/>
          </w:tcPr>
          <w:p>
            <w:r>
              <w:rPr>
                <w:rFonts w:ascii="Calibri" w:hAnsi="Calibri"/>
                <w:sz w:val="22"/>
              </w:rPr>
              <w:t>—</w:t>
            </w:r>
          </w:p>
        </w:tc>
        <w:tc>
          <w:tcPr>
            <w:tcW w:type="dxa" w:w="1728"/>
          </w:tcPr>
          <w:p>
            <w:r>
              <w:rPr>
                <w:rFonts w:ascii="Calibri" w:hAnsi="Calibri"/>
                <w:sz w:val="22"/>
              </w:rPr>
              <w:t>~38,948 BOE/d (FY 2026 consensus)</w:t>
            </w:r>
          </w:p>
        </w:tc>
        <w:tc>
          <w:tcPr>
            <w:tcW w:type="dxa" w:w="1728"/>
          </w:tcPr>
          <w:p>
            <w:r>
              <w:rPr>
                <w:rFonts w:ascii="Calibri" w:hAnsi="Calibri"/>
                <w:sz w:val="22"/>
              </w:rPr>
              <w:t>Management cited 20.7 net line-of-sight wells (+6% seq.) on Q1 call; expects industry to ramp rig/frac activity if oil prices remain elevated.</w:t>
            </w:r>
          </w:p>
        </w:tc>
      </w:tr>
      <w:tr>
        <w:tc>
          <w:tcPr>
            <w:tcW w:type="dxa" w:w="1728"/>
          </w:tcPr>
          <w:p>
            <w:r>
              <w:rPr>
                <w:rFonts w:ascii="Calibri" w:hAnsi="Calibri"/>
                <w:sz w:val="22"/>
              </w:rPr>
              <w:t>Desalination Facility (Phase 2b)</w:t>
            </w:r>
          </w:p>
        </w:tc>
        <w:tc>
          <w:tcPr>
            <w:tcW w:type="dxa" w:w="1728"/>
          </w:tcPr>
          <w:p>
            <w:r>
              <w:rPr>
                <w:rFonts w:ascii="Calibri" w:hAnsi="Calibri"/>
                <w:sz w:val="22"/>
              </w:rPr>
              <w:t>Expected to begin taking produced water "in the coming months" (delayed from end-2025)</w:t>
            </w:r>
          </w:p>
        </w:tc>
        <w:tc>
          <w:tcPr>
            <w:tcW w:type="dxa" w:w="1728"/>
          </w:tcPr>
          <w:p>
            <w:r>
              <w:rPr>
                <w:rFonts w:ascii="Calibri" w:hAnsi="Calibri"/>
                <w:sz w:val="22"/>
              </w:rPr>
              <w:t>Q1 2026 call: "nearly complete," expected to begin flowing inlet water "in the coming weeks"</w:t>
            </w:r>
          </w:p>
        </w:tc>
        <w:tc>
          <w:tcPr>
            <w:tcW w:type="dxa" w:w="1728"/>
          </w:tcPr>
          <w:p>
            <w:r>
              <w:rPr>
                <w:rFonts w:ascii="Calibri" w:hAnsi="Calibri"/>
                <w:sz w:val="22"/>
              </w:rPr>
              <w:t>N/A</w:t>
            </w:r>
          </w:p>
        </w:tc>
        <w:tc>
          <w:tcPr>
            <w:tcW w:type="dxa" w:w="1728"/>
          </w:tcPr>
          <w:p>
            <w:r>
              <w:rPr>
                <w:rFonts w:ascii="Calibri" w:hAnsi="Calibri"/>
                <w:sz w:val="22"/>
              </w:rPr>
              <w:t>↑ Progressed; Q2 call should provide first operational update on Phase 2b performance.</w:t>
            </w:r>
          </w:p>
        </w:tc>
      </w:tr>
      <w:tr>
        <w:tc>
          <w:tcPr>
            <w:tcW w:type="dxa" w:w="1728"/>
          </w:tcPr>
          <w:p>
            <w:r>
              <w:rPr>
                <w:rFonts w:ascii="Calibri" w:hAnsi="Calibri"/>
                <w:sz w:val="22"/>
              </w:rPr>
              <w:t>Data Center / Power Generation</w:t>
            </w:r>
          </w:p>
        </w:tc>
        <w:tc>
          <w:tcPr>
            <w:tcW w:type="dxa" w:w="1728"/>
          </w:tcPr>
          <w:p>
            <w:r>
              <w:rPr>
                <w:rFonts w:ascii="Calibri" w:hAnsi="Calibri"/>
                <w:sz w:val="22"/>
              </w:rPr>
              <w:t>Bolt Data &amp; Energy investment announced Dec 2025; "hopeful to have multiple new updates before end of year"</w:t>
            </w:r>
          </w:p>
        </w:tc>
        <w:tc>
          <w:tcPr>
            <w:tcW w:type="dxa" w:w="1728"/>
          </w:tcPr>
          <w:p>
            <w:r>
              <w:rPr>
                <w:rFonts w:ascii="Calibri" w:hAnsi="Calibri"/>
                <w:sz w:val="22"/>
              </w:rPr>
              <w:t>Q1 2026: First non-Bolt land sale ($43M over 20 years) + water supply agreement signed</w:t>
            </w:r>
          </w:p>
        </w:tc>
        <w:tc>
          <w:tcPr>
            <w:tcW w:type="dxa" w:w="1728"/>
          </w:tcPr>
          <w:p>
            <w:r>
              <w:rPr>
                <w:rFonts w:ascii="Calibri" w:hAnsi="Calibri"/>
                <w:sz w:val="22"/>
              </w:rPr>
              <w:t>N/A</w:t>
            </w:r>
          </w:p>
        </w:tc>
        <w:tc>
          <w:tcPr>
            <w:tcW w:type="dxa" w:w="1728"/>
          </w:tcPr>
          <w:p>
            <w:r>
              <w:rPr>
                <w:rFonts w:ascii="Calibri" w:hAnsi="Calibri"/>
                <w:sz w:val="22"/>
              </w:rPr>
              <w:t>↑ Concrete deal announced; management stated "urgency to lock up power and compute continues to rise." Market watching for additional deals.</w:t>
            </w:r>
          </w:p>
        </w:tc>
      </w:tr>
      <w:tr>
        <w:tc>
          <w:tcPr>
            <w:tcW w:type="dxa" w:w="1728"/>
          </w:tcPr>
          <w:p>
            <w:r>
              <w:rPr>
                <w:rFonts w:ascii="Calibri" w:hAnsi="Calibri"/>
                <w:sz w:val="22"/>
              </w:rPr>
              <w:t>Oil Price Tone</w:t>
            </w:r>
          </w:p>
        </w:tc>
        <w:tc>
          <w:tcPr>
            <w:tcW w:type="dxa" w:w="1728"/>
          </w:tcPr>
          <w:p>
            <w:r>
              <w:rPr>
                <w:rFonts w:ascii="Calibri" w:hAnsi="Calibri"/>
                <w:sz w:val="22"/>
              </w:rPr>
              <w:t>"Relatively weak oil price environment" — countercyclical framing</w:t>
            </w:r>
          </w:p>
        </w:tc>
        <w:tc>
          <w:tcPr>
            <w:tcW w:type="dxa" w:w="1728"/>
          </w:tcPr>
          <w:p>
            <w:r>
              <w:rPr>
                <w:rFonts w:ascii="Calibri" w:hAnsi="Calibri"/>
                <w:sz w:val="22"/>
              </w:rPr>
              <w:t>Q1 2026: "Crude oil prices spiking dramatically"; TPL "fully capturing the direct upside" as fully unhedged</w:t>
            </w:r>
          </w:p>
        </w:tc>
        <w:tc>
          <w:tcPr>
            <w:tcW w:type="dxa" w:w="1728"/>
          </w:tcPr>
          <w:p>
            <w:r>
              <w:rPr>
                <w:rFonts w:ascii="Calibri" w:hAnsi="Calibri"/>
                <w:sz w:val="22"/>
              </w:rPr>
              <w:t>N/A</w:t>
            </w:r>
          </w:p>
        </w:tc>
        <w:tc>
          <w:tcPr>
            <w:tcW w:type="dxa" w:w="1728"/>
          </w:tcPr>
          <w:p>
            <w:r>
              <w:rPr>
                <w:rFonts w:ascii="Calibri" w:hAnsi="Calibri"/>
                <w:sz w:val="22"/>
              </w:rPr>
              <w:t>↑ Significant tone shift; bullish pivot on commodity price environment.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revenue estimates have been revised </w:t>
      </w:r>
      <w:r>
        <w:rPr>
          <w:rFonts w:ascii="Calibri" w:hAnsi="Calibri"/>
          <w:b/>
          <w:color w:val="525866"/>
          <w:sz w:val="22"/>
        </w:rPr>
        <w:t>lower</w:t>
      </w:r>
      <w:r>
        <w:rPr>
          <w:rFonts w:ascii="Calibri" w:hAnsi="Calibri"/>
          <w:color w:val="525866"/>
          <w:sz w:val="22"/>
        </w:rPr>
        <w:t xml:space="preserve"> since the Q1 print (from ~$272M post-print to ~$250M current), while FY 2026 estimates have moved modestly higher, suggesting the street is tempering near-term enthusiasm while maintaining confidence in the full-year trajectory. The gap between current consensus and the post-print baseline represents a lower bar heading into Q2.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(as of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$272.1M</w:t>
            </w:r>
          </w:p>
        </w:tc>
        <w:tc>
          <w:tcPr>
            <w:tcW w:type="dxa" w:w="1080"/>
          </w:tcPr>
          <w:p>
            <w:r>
              <w:rPr>
                <w:rFonts w:ascii="Calibri" w:hAnsi="Calibri"/>
                <w:sz w:val="22"/>
              </w:rPr>
              <w:t>$249.6M</w:t>
            </w:r>
          </w:p>
        </w:tc>
        <w:tc>
          <w:tcPr>
            <w:tcW w:type="dxa" w:w="1080"/>
          </w:tcPr>
          <w:p>
            <w:r>
              <w:rPr>
                <w:rFonts w:ascii="Calibri" w:hAnsi="Calibri"/>
                <w:b/>
                <w:color w:val="E5484D"/>
                <w:sz w:val="22"/>
              </w:rPr>
              <w:t>−8.2%</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$1,060.2M</w:t>
            </w:r>
          </w:p>
        </w:tc>
        <w:tc>
          <w:tcPr>
            <w:tcW w:type="dxa" w:w="1080"/>
          </w:tcPr>
          <w:p>
            <w:r>
              <w:rPr>
                <w:rFonts w:ascii="Calibri" w:hAnsi="Calibri"/>
                <w:sz w:val="22"/>
              </w:rPr>
              <w:t>$988.7M</w:t>
            </w:r>
          </w:p>
        </w:tc>
        <w:tc>
          <w:tcPr>
            <w:tcW w:type="dxa" w:w="1080"/>
          </w:tcPr>
          <w:p>
            <w:r>
              <w:rPr>
                <w:rFonts w:ascii="Calibri" w:hAnsi="Calibri"/>
                <w:b/>
                <w:color w:val="E5484D"/>
                <w:sz w:val="22"/>
              </w:rPr>
              <w:t>−6.8%</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$232.7M</w:t>
            </w:r>
          </w:p>
        </w:tc>
        <w:tc>
          <w:tcPr>
            <w:tcW w:type="dxa" w:w="1080"/>
          </w:tcPr>
          <w:p>
            <w:r>
              <w:rPr>
                <w:rFonts w:ascii="Calibri" w:hAnsi="Calibri"/>
                <w:sz w:val="22"/>
              </w:rPr>
              <w:t>$210.6M</w:t>
            </w:r>
          </w:p>
        </w:tc>
        <w:tc>
          <w:tcPr>
            <w:tcW w:type="dxa" w:w="1080"/>
          </w:tcPr>
          <w:p>
            <w:r>
              <w:rPr>
                <w:rFonts w:ascii="Calibri" w:hAnsi="Calibri"/>
                <w:b/>
                <w:color w:val="E5484D"/>
                <w:sz w:val="22"/>
              </w:rPr>
              <w:t>−9.5%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$906.0M</w:t>
            </w:r>
          </w:p>
        </w:tc>
        <w:tc>
          <w:tcPr>
            <w:tcW w:type="dxa" w:w="1080"/>
          </w:tcPr>
          <w:p>
            <w:r>
              <w:rPr>
                <w:rFonts w:ascii="Calibri" w:hAnsi="Calibri"/>
                <w:sz w:val="22"/>
              </w:rPr>
              <w:t>$833.3M</w:t>
            </w:r>
          </w:p>
        </w:tc>
        <w:tc>
          <w:tcPr>
            <w:tcW w:type="dxa" w:w="1080"/>
          </w:tcPr>
          <w:p>
            <w:r>
              <w:rPr>
                <w:rFonts w:ascii="Calibri" w:hAnsi="Calibri"/>
                <w:b/>
                <w:color w:val="E5484D"/>
                <w:sz w:val="22"/>
              </w:rPr>
              <w:t>−8.0%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(Diluted) — Q2 2026</w:t>
            </w:r>
          </w:p>
        </w:tc>
        <w:tc>
          <w:tcPr>
            <w:tcW w:type="dxa" w:w="1080"/>
          </w:tcPr>
          <w:p>
            <w:r>
              <w:rPr>
                <w:rFonts w:ascii="Calibri" w:hAnsi="Calibri"/>
                <w:sz w:val="22"/>
              </w:rPr>
              <w:t>$2.42</w:t>
            </w:r>
          </w:p>
        </w:tc>
        <w:tc>
          <w:tcPr>
            <w:tcW w:type="dxa" w:w="1080"/>
          </w:tcPr>
          <w:p>
            <w:r>
              <w:rPr>
                <w:rFonts w:ascii="Calibri" w:hAnsi="Calibri"/>
                <w:sz w:val="22"/>
              </w:rPr>
              <w:t>$2.19</w:t>
            </w:r>
          </w:p>
        </w:tc>
        <w:tc>
          <w:tcPr>
            <w:tcW w:type="dxa" w:w="1080"/>
          </w:tcPr>
          <w:p>
            <w:r>
              <w:rPr>
                <w:rFonts w:ascii="Calibri" w:hAnsi="Calibri"/>
                <w:b/>
                <w:color w:val="E5484D"/>
                <w:sz w:val="22"/>
              </w:rPr>
              <w:t>−9.5%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(Diluted) — FY 2026</w:t>
            </w:r>
          </w:p>
        </w:tc>
        <w:tc>
          <w:tcPr>
            <w:tcW w:type="dxa" w:w="1080"/>
          </w:tcPr>
          <w:p>
            <w:r>
              <w:rPr>
                <w:rFonts w:ascii="Calibri" w:hAnsi="Calibri"/>
                <w:sz w:val="22"/>
              </w:rPr>
              <w:t>$9.46</w:t>
            </w:r>
          </w:p>
        </w:tc>
        <w:tc>
          <w:tcPr>
            <w:tcW w:type="dxa" w:w="1080"/>
          </w:tcPr>
          <w:p>
            <w:r>
              <w:rPr>
                <w:rFonts w:ascii="Calibri" w:hAnsi="Calibri"/>
                <w:sz w:val="22"/>
              </w:rPr>
              <w:t>$8.66</w:t>
            </w:r>
          </w:p>
        </w:tc>
        <w:tc>
          <w:tcPr>
            <w:tcW w:type="dxa" w:w="1080"/>
          </w:tcPr>
          <w:p>
            <w:r>
              <w:rPr>
                <w:rFonts w:ascii="Calibri" w:hAnsi="Calibri"/>
                <w:b/>
                <w:color w:val="E5484D"/>
                <w:sz w:val="22"/>
              </w:rPr>
              <w:t>−8.5%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Royalty Production — Q2 2026 (BOE/d)</w:t>
            </w:r>
          </w:p>
        </w:tc>
        <w:tc>
          <w:tcPr>
            <w:tcW w:type="dxa" w:w="1080"/>
          </w:tcPr>
          <w:p>
            <w:r>
              <w:rPr>
                <w:rFonts w:ascii="Calibri" w:hAnsi="Calibri"/>
                <w:sz w:val="22"/>
              </w:rPr>
              <w:t>39,536</w:t>
            </w:r>
          </w:p>
        </w:tc>
        <w:tc>
          <w:tcPr>
            <w:tcW w:type="dxa" w:w="1080"/>
          </w:tcPr>
          <w:p>
            <w:r>
              <w:rPr>
                <w:rFonts w:ascii="Calibri" w:hAnsi="Calibri"/>
                <w:sz w:val="22"/>
              </w:rPr>
              <w:t>38,530</w:t>
            </w:r>
          </w:p>
        </w:tc>
        <w:tc>
          <w:tcPr>
            <w:tcW w:type="dxa" w:w="1080"/>
          </w:tcPr>
          <w:p>
            <w:r>
              <w:rPr>
                <w:rFonts w:ascii="Calibri" w:hAnsi="Calibri"/>
                <w:b/>
                <w:color w:val="E5484D"/>
                <w:sz w:val="22"/>
              </w:rPr>
              <w:t>−2.5%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Royalty Production — FY 2026 (BOE/d)</w:t>
            </w:r>
          </w:p>
        </w:tc>
        <w:tc>
          <w:tcPr>
            <w:tcW w:type="dxa" w:w="1080"/>
          </w:tcPr>
          <w:p>
            <w:r>
              <w:rPr>
                <w:rFonts w:ascii="Calibri" w:hAnsi="Calibri"/>
                <w:sz w:val="22"/>
              </w:rPr>
              <w:t>39,977</w:t>
            </w:r>
          </w:p>
        </w:tc>
        <w:tc>
          <w:tcPr>
            <w:tcW w:type="dxa" w:w="1080"/>
          </w:tcPr>
          <w:p>
            <w:r>
              <w:rPr>
                <w:rFonts w:ascii="Calibri" w:hAnsi="Calibri"/>
                <w:sz w:val="22"/>
              </w:rPr>
              <w:t>38,949</w:t>
            </w:r>
          </w:p>
        </w:tc>
        <w:tc>
          <w:tcPr>
            <w:tcW w:type="dxa" w:w="1080"/>
          </w:tcPr>
          <w:p>
            <w:r>
              <w:rPr>
                <w:rFonts w:ascii="Calibri" w:hAnsi="Calibri"/>
                <w:b/>
                <w:color w:val="E5484D"/>
                <w:sz w:val="22"/>
              </w:rPr>
              <w:t>−2.6%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Post-print baseline = consensus as of May 13, 2026 (5 trading days after Q1 2026 earnings on May 6, 2026). Estimates across all KPIs have been revised lower since the Q1 print, with revenue and EBITDA down ~8–10% from the initial post-print baseline. This broad-based downward revision creates a more achievable bar for Q2, particularly if oil price tailwinds flow through to realized prices. TPL does not provide formal quarterly or annual financial guidance, so no guidance delta is applicable.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TPL has underperformed both XOP (+1.5%) and the S&amp;P 500 (+5.1%) since Q1 2026 earnings, declining ~5.8% to ~$396 as of August 5, 2026. The underperformance is notable given the oil price spike that benefited E&amp;P peers — suggesting the market is discounting near-term royalty production misses and awaiting more data center deal flow to re-rate the stock.</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TPL vs. XOP (E&amp;P ETF) vs. S&amp;P 500 (SPY) — Indexed to 100 at Q1 2026 Earnings (May 6, 2026). Source: Yahoo Finance.</w:t>
      </w:r>
    </w:p>
    <w:p>
      <w:r>
        <w:rPr>
          <w:rFonts w:ascii="Calibri" w:hAnsi="Calibri"/>
          <w:b/>
          <w:color w:val="525866"/>
          <w:sz w:val="22"/>
        </w:rPr>
        <w:t xml:space="preserve">Sector ETF: </w:t>
      </w:r>
      <w:r>
        <w:rPr>
          <w:rFonts w:ascii="Calibri" w:hAnsi="Calibri"/>
          <w:color w:val="525866"/>
          <w:sz w:val="22"/>
        </w:rPr>
        <w:t>XOP (SPDR S&amp;P Oil &amp; Gas Exploration &amp; Production ETF) — appropriate for TPL given its primary revenue driver is oil and gas royalties tied to Permian Basin E&amp;P activity.</w:t>
      </w:r>
    </w:p>
    <w:p>
      <w:pPr>
        <w:pStyle w:val="ListBullet"/>
        <w:ind w:left="360" w:hanging="360"/>
      </w:pPr>
      <w:r>
        <w:rPr>
          <w:rFonts w:ascii="Calibri" w:hAnsi="Calibri"/>
          <w:b/>
          <w:color w:val="525866"/>
          <w:sz w:val="22"/>
        </w:rPr>
        <w:t xml:space="preserve">May 6–7, 2026 (Q1 Earnings): </w:t>
      </w:r>
      <w:r>
        <w:rPr>
          <w:rFonts w:ascii="Calibri" w:hAnsi="Calibri"/>
          <w:color w:val="525866"/>
          <w:sz w:val="22"/>
        </w:rPr>
        <w:t>Stock fell ~5% on earnings day despite record revenue and FCF, as EBITDA margin compression and royalty production miss vs. consensus weighed on sentiment.</w:t>
      </w:r>
    </w:p>
    <w:p>
      <w:pPr>
        <w:pStyle w:val="ListBullet"/>
        <w:ind w:left="360" w:hanging="360"/>
      </w:pPr>
      <w:r>
        <w:rPr>
          <w:rFonts w:ascii="Calibri" w:hAnsi="Calibri"/>
          <w:b/>
          <w:color w:val="525866"/>
          <w:sz w:val="22"/>
        </w:rPr>
        <w:t xml:space="preserve">Late May 2026: </w:t>
      </w:r>
      <w:r>
        <w:rPr>
          <w:rFonts w:ascii="Calibri" w:hAnsi="Calibri"/>
          <w:color w:val="525866"/>
          <w:sz w:val="22"/>
        </w:rPr>
        <w:t>Continued drift lower to ~$385 as the market digested the production miss and awaited evidence of Permian activity pickup.</w:t>
      </w:r>
    </w:p>
    <w:p>
      <w:pPr>
        <w:pStyle w:val="ListBullet"/>
        <w:ind w:left="360" w:hanging="360"/>
      </w:pPr>
      <w:r>
        <w:rPr>
          <w:rFonts w:ascii="Calibri" w:hAnsi="Calibri"/>
          <w:b/>
          <w:color w:val="525866"/>
          <w:sz w:val="22"/>
        </w:rPr>
        <w:t xml:space="preserve">June 3, 2026 (Oil Price Spike): </w:t>
      </w:r>
      <w:r>
        <w:rPr>
          <w:rFonts w:ascii="Calibri" w:hAnsi="Calibri"/>
          <w:color w:val="525866"/>
          <w:sz w:val="22"/>
        </w:rPr>
        <w:t>Sharp rally to ~$407 as crude oil prices spiked on Middle East supply disruption concerns, directly benefiting TPL's unhedged royalty position.</w:t>
      </w:r>
    </w:p>
    <w:p>
      <w:pPr>
        <w:pStyle w:val="ListBullet"/>
        <w:ind w:left="360" w:hanging="360"/>
      </w:pPr>
      <w:r>
        <w:rPr>
          <w:rFonts w:ascii="Calibri" w:hAnsi="Calibri"/>
          <w:b/>
          <w:color w:val="525866"/>
          <w:sz w:val="22"/>
        </w:rPr>
        <w:t xml:space="preserve">Mid-June 2026: </w:t>
      </w:r>
      <w:r>
        <w:rPr>
          <w:rFonts w:ascii="Calibri" w:hAnsi="Calibri"/>
          <w:color w:val="525866"/>
          <w:sz w:val="22"/>
        </w:rPr>
        <w:t>Pullback to ~$354 trough as oil price gains partially reversed and broader market risk-off sentiment weighed.</w:t>
      </w:r>
    </w:p>
    <w:p>
      <w:pPr>
        <w:pStyle w:val="ListBullet"/>
        <w:ind w:left="360" w:hanging="360"/>
      </w:pPr>
      <w:r>
        <w:rPr>
          <w:rFonts w:ascii="Calibri" w:hAnsi="Calibri"/>
          <w:b/>
          <w:color w:val="525866"/>
          <w:sz w:val="22"/>
        </w:rPr>
        <w:t xml:space="preserve">Late June – Early July 2026: </w:t>
      </w:r>
      <w:r>
        <w:rPr>
          <w:rFonts w:ascii="Calibri" w:hAnsi="Calibri"/>
          <w:color w:val="525866"/>
          <w:sz w:val="22"/>
        </w:rPr>
        <w:t>Recovery to ~$438 peak (June 30) driven by renewed oil price strength and XOP outperformance, before fading back to ~$396 by early August.</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Q2 2026 earnings calls (reported August 4, 2026) are broadly constructive for TPL: Permian rig count is trending up, oil prices were "well above mid-cycle" in Q2, completion activity remains robust, and operators are signaling production growth into H2 2026 — all of which support TPL's royalty production and water services volumes. The most direct read-through comes from VNOM (Viper Energy) and FANG (Diamondback), which operate extensively on TPL acreage.</w:t>
      </w:r>
    </w:p>
    <w:p>
      <w:r>
        <w:rPr>
          <w:rFonts w:ascii="Calibri" w:hAnsi="Calibri"/>
          <w:b/>
          <w:color w:val="525866"/>
          <w:sz w:val="22"/>
        </w:rPr>
        <w:t xml:space="preserve">Note: </w:t>
      </w:r>
      <w:r>
        <w:rPr>
          <w:rFonts w:ascii="Calibri" w:hAnsi="Calibri"/>
          <w:i/>
          <w:color w:val="525866"/>
          <w:sz w:val="22"/>
        </w:rPr>
        <w:t>Only Q2 2026 earnings calls (reported August 4, 2026) and Q1 2026 calls from operators active on TPL acreage are included below. Q4 2025 and prior-quarter commentary has been excluded per the user's instruction to focus on current-quarter read-throughs.</w:t>
      </w:r>
    </w:p>
    <w:p>
      <w:pPr>
        <w:pStyle w:val="Heading3"/>
      </w:pPr>
      <w:r>
        <w:rPr>
          <w:rFonts w:ascii="Calibri" w:hAnsi="Calibri"/>
          <w:b/>
          <w:color w:val="3B4259"/>
          <w:sz w:val="24"/>
        </w:rPr>
        <w:t>Viper Energy (VNOM) — Q2 2026 Earnings Call (August 4, 2026)</w:t>
      </w:r>
    </w:p>
    <w:p>
      <w:r>
        <w:rPr>
          <w:rFonts w:ascii="Calibri" w:hAnsi="Calibri"/>
          <w:b/>
          <w:color w:val="525866"/>
          <w:sz w:val="22"/>
        </w:rPr>
        <w:t xml:space="preserve">Read-Through Relevance: </w:t>
      </w:r>
      <w:r>
        <w:rPr>
          <w:rFonts w:ascii="Calibri" w:hAnsi="Calibri"/>
          <w:color w:val="525866"/>
          <w:sz w:val="22"/>
        </w:rPr>
        <w:t>VNOM is a Permian Basin mineral rights company with a business model nearly identical to TPL's royalty segment. VNOM's Q2 results and Q3 guidance are the most direct read-through for TPL's royalty production trajectory.</w:t>
      </w:r>
    </w:p>
    <w:p>
      <w:pPr>
        <w:pStyle w:val="ListBullet"/>
        <w:ind w:left="360" w:hanging="360"/>
      </w:pPr>
      <w:r>
        <w:rPr>
          <w:rFonts w:ascii="Calibri" w:hAnsi="Calibri"/>
          <w:b/>
          <w:color w:val="525866"/>
          <w:sz w:val="22"/>
        </w:rPr>
        <w:t xml:space="preserve">Permian completion activity strong: </w:t>
      </w:r>
      <w:r>
        <w:rPr>
          <w:rFonts w:ascii="Calibri" w:hAnsi="Calibri"/>
          <w:color w:val="525866"/>
          <w:sz w:val="22"/>
        </w:rPr>
        <w:t>Operators turned 691 gross horizontal wells to production on VNOM acreage in Q2 2026, driving strong royalty volumes. This level of completion activity is a direct positive read-through for TPL's royalty production in Q2.</w:t>
      </w:r>
    </w:p>
    <w:p>
      <w:pPr>
        <w:pStyle w:val="ListBullet"/>
        <w:ind w:left="360" w:hanging="360"/>
      </w:pPr>
      <w:r>
        <w:rPr>
          <w:rFonts w:ascii="Calibri" w:hAnsi="Calibri"/>
          <w:b/>
          <w:color w:val="525866"/>
          <w:sz w:val="22"/>
        </w:rPr>
        <w:t xml:space="preserve">Rig count trending up: </w:t>
      </w:r>
      <w:r>
        <w:rPr>
          <w:rFonts w:ascii="Calibri" w:hAnsi="Calibri"/>
          <w:color w:val="525866"/>
          <w:sz w:val="22"/>
        </w:rPr>
        <w:t>"We've seen rig count trend up. We've seen that in the basin and we've seen that specific to Viper as well" — and management expects this to continue "as we get later in the year." This supports TPL's Q1 call commentary that it expected "the industry to ramp rig and frac spread activity over the coming quarters."</w:t>
      </w:r>
    </w:p>
    <w:p>
      <w:pPr>
        <w:pStyle w:val="ListBullet"/>
        <w:ind w:left="360" w:hanging="360"/>
      </w:pPr>
      <w:r>
        <w:rPr>
          <w:rFonts w:ascii="Calibri" w:hAnsi="Calibri"/>
          <w:b/>
          <w:color w:val="525866"/>
          <w:sz w:val="22"/>
        </w:rPr>
        <w:t xml:space="preserve">Q3 production guidance implies ~4.5% sequential growth: </w:t>
      </w:r>
      <w:r>
        <w:rPr>
          <w:rFonts w:ascii="Calibri" w:hAnsi="Calibri"/>
          <w:color w:val="525866"/>
          <w:sz w:val="22"/>
        </w:rPr>
        <w:t>VNOM's Q3 guidance implies ~4.5% sequential production growth vs. Q2, with the midpoint implying ~15% annualized oil production per share growth vs. Q4 2025. If TPL's royalty production tracks similarly, Q2 and Q3 could show meaningful sequential improvement vs. Q1's flat-to-prior-quarter result.</w:t>
      </w:r>
    </w:p>
    <w:p>
      <w:pPr>
        <w:pStyle w:val="ListBullet"/>
        <w:ind w:left="360" w:hanging="360"/>
      </w:pPr>
      <w:r>
        <w:rPr>
          <w:rFonts w:ascii="Calibri" w:hAnsi="Calibri"/>
          <w:b/>
          <w:color w:val="525866"/>
          <w:sz w:val="22"/>
        </w:rPr>
        <w:t xml:space="preserve">Oil prices "well above mid-cycle" in Q2: </w:t>
      </w:r>
      <w:r>
        <w:rPr>
          <w:rFonts w:ascii="Calibri" w:hAnsi="Calibri"/>
          <w:color w:val="525866"/>
          <w:sz w:val="22"/>
        </w:rPr>
        <w:t>VNOM management noted oil prices were "well above mid-cycle in Q2," which directly benefits TPL's unhedged royalty revenue. Every $10/bbl increase in oil realizations equates to ~$50M of annual revenue for TPL (per Q1 2026 call).</w:t>
      </w:r>
    </w:p>
    <w:p>
      <w:pPr>
        <w:pStyle w:val="ListBullet"/>
        <w:ind w:left="360" w:hanging="360"/>
      </w:pPr>
      <w:r>
        <w:rPr>
          <w:rFonts w:ascii="Calibri" w:hAnsi="Calibri"/>
          <w:b/>
          <w:color w:val="525866"/>
          <w:sz w:val="22"/>
        </w:rPr>
        <w:t xml:space="preserve">High single-digit organic growth expected for FY 2026: </w:t>
      </w:r>
      <w:r>
        <w:rPr>
          <w:rFonts w:ascii="Calibri" w:hAnsi="Calibri"/>
          <w:color w:val="525866"/>
          <w:sz w:val="22"/>
        </w:rPr>
        <w:t>VNOM guided to "about high single-digit organic growth in 2026," consistent with TPL's FY 2026 royalty production consensus of ~38,949 BOE/d vs. FY 2025's ~34,600 BOE/d (~12.6% growth).</w:t>
      </w:r>
    </w:p>
    <w:p>
      <w:pPr>
        <w:pStyle w:val="ListBullet"/>
        <w:ind w:left="360" w:hanging="360"/>
      </w:pPr>
      <w:r>
        <w:rPr>
          <w:rFonts w:ascii="Calibri" w:hAnsi="Calibri"/>
          <w:b/>
          <w:color w:val="525866"/>
          <w:sz w:val="22"/>
        </w:rPr>
        <w:t xml:space="preserve">M&amp;A market robust: </w:t>
      </w:r>
      <w:r>
        <w:rPr>
          <w:rFonts w:ascii="Calibri" w:hAnsi="Calibri"/>
          <w:color w:val="525866"/>
          <w:sz w:val="22"/>
        </w:rPr>
        <w:t>VNOM completed ~$103M in M&amp;A in Q2 plus a $160M drop-down from FANG, noting a "pretty robust M&amp;A opportunity set." TPL has paused acquisitions but this signals an active market for royalty assets.</w:t>
      </w:r>
    </w:p>
    <w:p>
      <w:pPr>
        <w:pStyle w:val="Heading3"/>
      </w:pPr>
      <w:r>
        <w:rPr>
          <w:rFonts w:ascii="Calibri" w:hAnsi="Calibri"/>
          <w:b/>
          <w:color w:val="3B4259"/>
          <w:sz w:val="24"/>
        </w:rPr>
        <w:t>Diamondback Energy (FANG) — Q2 2026 Earnings Call (August 4, 2026)</w:t>
      </w:r>
    </w:p>
    <w:p>
      <w:r>
        <w:rPr>
          <w:rFonts w:ascii="Calibri" w:hAnsi="Calibri"/>
          <w:b/>
          <w:color w:val="525866"/>
          <w:sz w:val="22"/>
        </w:rPr>
        <w:t xml:space="preserve">Read-Through Relevance: </w:t>
      </w:r>
      <w:r>
        <w:rPr>
          <w:rFonts w:ascii="Calibri" w:hAnsi="Calibri"/>
          <w:color w:val="525866"/>
          <w:sz w:val="22"/>
        </w:rPr>
        <w:t>FANG is one of the most active operators on TPL acreage (cited by TPL management on the Q1 2026 call as a key driver of royalty production in the Midland Basin). FANG's drilling and completion plans directly affect TPL's royalty volumes and water demand.</w:t>
      </w:r>
    </w:p>
    <w:p>
      <w:pPr>
        <w:pStyle w:val="ListBullet"/>
        <w:ind w:left="360" w:hanging="360"/>
      </w:pPr>
      <w:r>
        <w:rPr>
          <w:rFonts w:ascii="Calibri" w:hAnsi="Calibri"/>
          <w:b/>
          <w:color w:val="525866"/>
          <w:sz w:val="22"/>
        </w:rPr>
        <w:t xml:space="preserve">Permian rig count up ~60 from the bottom: </w:t>
      </w:r>
      <w:r>
        <w:rPr>
          <w:rFonts w:ascii="Calibri" w:hAnsi="Calibri"/>
          <w:color w:val="525866"/>
          <w:sz w:val="22"/>
        </w:rPr>
        <w:t>"I think we're up 60 rigs from the bottom if we continue to go and there's some forecast out there up to 80-ish rigs being picked up." This is a meaningful positive for TPL's royalty production outlook, as more rigs translate to more completions and new PDP wells on TPL acreage.</w:t>
      </w:r>
    </w:p>
    <w:p>
      <w:pPr>
        <w:pStyle w:val="ListBullet"/>
        <w:ind w:left="360" w:hanging="360"/>
      </w:pPr>
      <w:r>
        <w:rPr>
          <w:rFonts w:ascii="Calibri" w:hAnsi="Calibri"/>
          <w:b/>
          <w:color w:val="525866"/>
          <w:sz w:val="22"/>
        </w:rPr>
        <w:t xml:space="preserve">Continuous frac operations: </w:t>
      </w:r>
      <w:r>
        <w:rPr>
          <w:rFonts w:ascii="Calibri" w:hAnsi="Calibri"/>
          <w:color w:val="525866"/>
          <w:sz w:val="22"/>
        </w:rPr>
        <w:t>FANG is "running five frac crews consistently throughout the year" and achieved "the first full quarter of continuous popping, over 21 hours of average pumping time per day." High completion intensity directly drives TPL's royalty production volumes.</w:t>
      </w:r>
    </w:p>
    <w:p>
      <w:pPr>
        <w:pStyle w:val="ListBullet"/>
        <w:ind w:left="360" w:hanging="360"/>
      </w:pPr>
      <w:r>
        <w:rPr>
          <w:rFonts w:ascii="Calibri" w:hAnsi="Calibri"/>
          <w:b/>
          <w:color w:val="525866"/>
          <w:sz w:val="22"/>
        </w:rPr>
        <w:t xml:space="preserve">Lateral lengths continue to grow: </w:t>
      </w:r>
      <w:r>
        <w:rPr>
          <w:rFonts w:ascii="Calibri" w:hAnsi="Calibri"/>
          <w:color w:val="525866"/>
          <w:sz w:val="22"/>
        </w:rPr>
        <w:t>"Average lateral length continues to creep up beyond 12,000 feet." Longer laterals increase per-well production, benefiting TPL's royalty revenue per well.</w:t>
      </w:r>
    </w:p>
    <w:p>
      <w:pPr>
        <w:pStyle w:val="ListBullet"/>
        <w:ind w:left="360" w:hanging="360"/>
      </w:pPr>
      <w:r>
        <w:rPr>
          <w:rFonts w:ascii="Calibri" w:hAnsi="Calibri"/>
          <w:b/>
          <w:color w:val="525866"/>
          <w:sz w:val="22"/>
        </w:rPr>
        <w:t xml:space="preserve">Barnett play development accelerating: </w:t>
      </w:r>
      <w:r>
        <w:rPr>
          <w:rFonts w:ascii="Calibri" w:hAnsi="Calibri"/>
          <w:color w:val="525866"/>
          <w:sz w:val="22"/>
        </w:rPr>
        <w:t>FANG is "running 3 or 4 rigs targeting that play right now" and the first four-well pad in Spanish Trail has been drilled and will be completed "in the next couple of months." The Barnett is a high-NRI area for VNOM and likely overlaps with TPL acreage in the Delaware Basin.</w:t>
      </w:r>
    </w:p>
    <w:p>
      <w:pPr>
        <w:pStyle w:val="ListBullet"/>
        <w:ind w:left="360" w:hanging="360"/>
      </w:pPr>
      <w:r>
        <w:rPr>
          <w:rFonts w:ascii="Calibri" w:hAnsi="Calibri"/>
          <w:b/>
          <w:color w:val="525866"/>
          <w:sz w:val="22"/>
        </w:rPr>
        <w:t xml:space="preserve">Data center project advancing: </w:t>
      </w:r>
      <w:r>
        <w:rPr>
          <w:rFonts w:ascii="Calibri" w:hAnsi="Calibri"/>
          <w:color w:val="525866"/>
          <w:sz w:val="22"/>
        </w:rPr>
        <w:t>FANG is developing a 3,000-acre Bryant Ranch data center near Midland, Texas, with "dedicated Nat gas and water supply," targeting first gas delivery in H2 2027 and grid-connected power by 2028. This validates the broader West Texas data center/power generation theme that TPL is pursuing, and FANG's commentary that "the water discussion is certainly getting a lot more attention in this basin" is a direct positive for TPL's water services positioning.</w:t>
      </w:r>
    </w:p>
    <w:p>
      <w:pPr>
        <w:pStyle w:val="ListBullet"/>
        <w:ind w:left="360" w:hanging="360"/>
      </w:pPr>
      <w:r>
        <w:rPr>
          <w:rFonts w:ascii="Calibri" w:hAnsi="Calibri"/>
          <w:b/>
          <w:color w:val="525866"/>
          <w:sz w:val="22"/>
        </w:rPr>
        <w:t xml:space="preserve">Oil inventory thesis: </w:t>
      </w:r>
      <w:r>
        <w:rPr>
          <w:rFonts w:ascii="Calibri" w:hAnsi="Calibri"/>
          <w:color w:val="525866"/>
          <w:sz w:val="22"/>
        </w:rPr>
        <w:t>"Worldwide inventory levels will remain low for the foreseeable future" and "global inventories, including SPR, are going to need to be refilled" — a constructive multi-year oil price view that supports TPL's unhedged royalty revenue.</w:t>
      </w:r>
    </w:p>
    <w:p>
      <w:pPr>
        <w:pStyle w:val="ListBullet"/>
        <w:ind w:left="360" w:hanging="360"/>
      </w:pPr>
      <w:r>
        <w:rPr>
          <w:rFonts w:ascii="Calibri" w:hAnsi="Calibri"/>
          <w:b/>
          <w:color w:val="525866"/>
          <w:sz w:val="22"/>
        </w:rPr>
        <w:t xml:space="preserve">Q3 2026 production: </w:t>
      </w:r>
      <w:r>
        <w:rPr>
          <w:rFonts w:ascii="Calibri" w:hAnsi="Calibri"/>
          <w:color w:val="525866"/>
          <w:sz w:val="22"/>
        </w:rPr>
        <w:t>FANG expects to "hold production flat" in Q3 from elevated Q2 levels, suggesting sustained completion activity on TPL acreage through the quarter.</w:t>
      </w:r>
    </w:p>
    <w:p>
      <w:pPr>
        <w:pStyle w:val="Heading3"/>
      </w:pPr>
      <w:r>
        <w:rPr>
          <w:rFonts w:ascii="Calibri" w:hAnsi="Calibri"/>
          <w:b/>
          <w:color w:val="3B4259"/>
          <w:sz w:val="24"/>
        </w:rPr>
        <w:t>Devon Energy (DVN) — Q1 2026 Earnings Call (May 6, 2026)</w:t>
      </w:r>
    </w:p>
    <w:p>
      <w:r>
        <w:rPr>
          <w:rFonts w:ascii="Calibri" w:hAnsi="Calibri"/>
          <w:b/>
          <w:color w:val="525866"/>
          <w:sz w:val="22"/>
        </w:rPr>
        <w:t xml:space="preserve">Read-Through Relevance: </w:t>
      </w:r>
      <w:r>
        <w:rPr>
          <w:rFonts w:ascii="Calibri" w:hAnsi="Calibri"/>
          <w:color w:val="525866"/>
          <w:sz w:val="22"/>
        </w:rPr>
        <w:t>DVN is a major Delaware Basin operator (cited by TPL on the Q1 2026 call as a key driver of royalty production in Loving and Northern Reeves Counties). DVN's Q1 2026 call provides forward-looking commentary on Q2 2026 activity levels on TPL acreage.</w:t>
      </w:r>
    </w:p>
    <w:p>
      <w:pPr>
        <w:pStyle w:val="ListBullet"/>
        <w:ind w:left="360" w:hanging="360"/>
      </w:pPr>
      <w:r>
        <w:rPr>
          <w:rFonts w:ascii="Calibri" w:hAnsi="Calibri"/>
          <w:b/>
          <w:color w:val="525866"/>
          <w:sz w:val="22"/>
        </w:rPr>
        <w:t xml:space="preserve">Delaware Basin is DVN's "crown jewel asset": </w:t>
      </w:r>
      <w:r>
        <w:rPr>
          <w:rFonts w:ascii="Calibri" w:hAnsi="Calibri"/>
          <w:color w:val="525866"/>
          <w:sz w:val="22"/>
        </w:rPr>
        <w:t>DVN has been "very active" in the Delaware Basin, adding "well over 100 net locations" since last year through its ground game. This sustained activity directly supports TPL's royalty production in the Delaware Basin.</w:t>
      </w:r>
    </w:p>
    <w:p>
      <w:pPr>
        <w:pStyle w:val="ListBullet"/>
        <w:ind w:left="360" w:hanging="360"/>
      </w:pPr>
      <w:r>
        <w:rPr>
          <w:rFonts w:ascii="Calibri" w:hAnsi="Calibri"/>
          <w:b/>
          <w:color w:val="525866"/>
          <w:sz w:val="22"/>
        </w:rPr>
        <w:t xml:space="preserve">Q2 2026 production "expected to step up": </w:t>
      </w:r>
      <w:r>
        <w:rPr>
          <w:rFonts w:ascii="Calibri" w:hAnsi="Calibri"/>
          <w:color w:val="525866"/>
          <w:sz w:val="22"/>
        </w:rPr>
        <w:t>DVN entered Q2 with "significant upside torque to free cash flow" and production "expected to step up" — a direct positive read-through for TPL's Q2 royalty volumes from DVN-operated wells.</w:t>
      </w:r>
    </w:p>
    <w:p>
      <w:pPr>
        <w:pStyle w:val="ListBullet"/>
        <w:ind w:left="360" w:hanging="360"/>
      </w:pPr>
      <w:r>
        <w:rPr>
          <w:rFonts w:ascii="Calibri" w:hAnsi="Calibri"/>
          <w:b/>
          <w:color w:val="525866"/>
          <w:sz w:val="22"/>
        </w:rPr>
        <w:t xml:space="preserve">Commodity backdrop "meaningfully stronger than what anyone underwrote": </w:t>
      </w:r>
      <w:r>
        <w:rPr>
          <w:rFonts w:ascii="Calibri" w:hAnsi="Calibri"/>
          <w:color w:val="525866"/>
          <w:sz w:val="22"/>
        </w:rPr>
        <w:t>DVN noted the oil price environment is "meaningfully stronger than what anyone underwrote coming into this year," consistent with TPL's unhedged upside capture thesis.</w:t>
      </w:r>
    </w:p>
    <w:p>
      <w:pPr>
        <w:pStyle w:val="ListBullet"/>
        <w:ind w:left="360" w:hanging="360"/>
      </w:pPr>
      <w:r>
        <w:rPr>
          <w:rFonts w:ascii="Calibri" w:hAnsi="Calibri"/>
          <w:b/>
          <w:color w:val="525866"/>
          <w:sz w:val="22"/>
        </w:rPr>
        <w:t xml:space="preserve">AI-driven drilling efficiency gains: </w:t>
      </w:r>
      <w:r>
        <w:rPr>
          <w:rFonts w:ascii="Calibri" w:hAnsi="Calibri"/>
          <w:color w:val="525866"/>
          <w:sz w:val="22"/>
        </w:rPr>
        <w:t>DVN has 850+ wells on fully autonomous artificial lift optimization with "uplift in excess of" the 2–3% seen in the pilot phase. Efficiency gains mean more production per well, benefiting TPL's royalty revenue per BOE.</w:t>
      </w:r>
    </w:p>
    <w:p>
      <w:pPr>
        <w:pStyle w:val="ListBullet"/>
        <w:ind w:left="360" w:hanging="360"/>
      </w:pPr>
      <w:r>
        <w:rPr>
          <w:rFonts w:ascii="Calibri" w:hAnsi="Calibri"/>
          <w:b/>
          <w:color w:val="525866"/>
          <w:sz w:val="22"/>
        </w:rPr>
        <w:t xml:space="preserve">Waha gas price headwind easing: </w:t>
      </w:r>
      <w:r>
        <w:rPr>
          <w:rFonts w:ascii="Calibri" w:hAnsi="Calibri"/>
          <w:color w:val="525866"/>
          <w:sz w:val="22"/>
        </w:rPr>
        <w:t>DVN expects Waha exposure to fall to "10–15%" when Blackcomb pipeline comes online later in 2026. Lower Waha exposure reduces the drag on NGL/gas realizations for operators on TPL acreage, supporting overall royalty revenue.</w:t>
      </w:r>
    </w:p>
    <w:p>
      <w:pPr>
        <w:pStyle w:val="Heading3"/>
      </w:pPr>
      <w:r>
        <w:rPr>
          <w:rFonts w:ascii="Calibri" w:hAnsi="Calibri"/>
          <w:b/>
          <w:color w:val="3B4259"/>
          <w:sz w:val="24"/>
        </w:rPr>
        <w:t>Occidental Petroleum (OXY) — Q1 2026 Earnings Call (May 6, 2026)</w:t>
      </w:r>
    </w:p>
    <w:p>
      <w:r>
        <w:rPr>
          <w:rFonts w:ascii="Calibri" w:hAnsi="Calibri"/>
          <w:b/>
          <w:color w:val="525866"/>
          <w:sz w:val="22"/>
        </w:rPr>
        <w:t xml:space="preserve">Read-Through Relevance: </w:t>
      </w:r>
      <w:r>
        <w:rPr>
          <w:rFonts w:ascii="Calibri" w:hAnsi="Calibri"/>
          <w:color w:val="525866"/>
          <w:sz w:val="22"/>
        </w:rPr>
        <w:t>OXY is one of the largest operators on TPL acreage (cited by TPL on the Q1 2026 call as a key driver of royalty production in the Delaware Basin). OXY's Q1 2026 call provides forward-looking commentary on Q2 2026 Permian activity.</w:t>
      </w:r>
    </w:p>
    <w:p>
      <w:pPr>
        <w:pStyle w:val="ListBullet"/>
        <w:ind w:left="360" w:hanging="360"/>
      </w:pPr>
      <w:r>
        <w:rPr>
          <w:rFonts w:ascii="Calibri" w:hAnsi="Calibri"/>
          <w:b/>
          <w:color w:val="525866"/>
          <w:sz w:val="22"/>
        </w:rPr>
        <w:t xml:space="preserve">Permian unconventional production "expected to increase" in Q2: </w:t>
      </w:r>
      <w:r>
        <w:rPr>
          <w:rFonts w:ascii="Calibri" w:hAnsi="Calibri"/>
          <w:color w:val="525866"/>
          <w:sz w:val="22"/>
        </w:rPr>
        <w:t>OXY guided for Permian unconventional production to increase in Q2 2026, "supported by higher activity and resilient base performance." This is a direct positive read-through for TPL's Q2 royalty production from OXY-operated wells.</w:t>
      </w:r>
    </w:p>
    <w:p>
      <w:pPr>
        <w:pStyle w:val="ListBullet"/>
        <w:ind w:left="360" w:hanging="360"/>
      </w:pPr>
      <w:r>
        <w:rPr>
          <w:rFonts w:ascii="Calibri" w:hAnsi="Calibri"/>
          <w:b/>
          <w:color w:val="525866"/>
          <w:sz w:val="22"/>
        </w:rPr>
        <w:t xml:space="preserve">Strong Q1 outperformance: </w:t>
      </w:r>
      <w:r>
        <w:rPr>
          <w:rFonts w:ascii="Calibri" w:hAnsi="Calibri"/>
          <w:color w:val="525866"/>
          <w:sz w:val="22"/>
        </w:rPr>
        <w:t>OXY's domestic production exceeded the midpoint of guidance by 33,000 BOE/d in Q1, driven by "strong base and new well performance in the Permian and Rockies." Sustained outperformance suggests OXY is running its Permian program at or above plan.</w:t>
      </w:r>
    </w:p>
    <w:p>
      <w:pPr>
        <w:pStyle w:val="ListBullet"/>
        <w:ind w:left="360" w:hanging="360"/>
      </w:pPr>
      <w:r>
        <w:rPr>
          <w:rFonts w:ascii="Calibri" w:hAnsi="Calibri"/>
          <w:b/>
          <w:color w:val="525866"/>
          <w:sz w:val="22"/>
        </w:rPr>
        <w:t xml:space="preserve">7% new well cost improvement on track for 2026: </w:t>
      </w:r>
      <w:r>
        <w:rPr>
          <w:rFonts w:ascii="Calibri" w:hAnsi="Calibri"/>
          <w:color w:val="525866"/>
          <w:sz w:val="22"/>
        </w:rPr>
        <w:t>OXY is "on track to deliver approximately 7% new well cost improvement" in 2026, which supports continued drilling activity even in a volatile price environment.</w:t>
      </w:r>
    </w:p>
    <w:p>
      <w:pPr>
        <w:pStyle w:val="ListBullet"/>
        <w:ind w:left="360" w:hanging="360"/>
      </w:pPr>
      <w:r>
        <w:rPr>
          <w:rFonts w:ascii="Calibri" w:hAnsi="Calibri"/>
          <w:b/>
          <w:color w:val="525866"/>
          <w:sz w:val="22"/>
        </w:rPr>
        <w:t xml:space="preserve">Higher oil prices generating incremental cash flow: </w:t>
      </w:r>
      <w:r>
        <w:rPr>
          <w:rFonts w:ascii="Calibri" w:hAnsi="Calibri"/>
          <w:color w:val="525866"/>
          <w:sz w:val="22"/>
        </w:rPr>
        <w:t>OXY noted that "higher oil prices are generating incremental cash flow that continues to support this deleveraging path," suggesting no pullback in Permian activity due to financial constraints.</w:t>
      </w:r>
    </w:p>
    <w:p>
      <w:pPr>
        <w:pStyle w:val="ListBullet"/>
        <w:ind w:left="360" w:hanging="360"/>
      </w:pPr>
      <w:r>
        <w:rPr>
          <w:rFonts w:ascii="Calibri" w:hAnsi="Calibri"/>
          <w:b/>
          <w:color w:val="525866"/>
          <w:sz w:val="22"/>
        </w:rPr>
        <w:t xml:space="preserve">Historical oil price context: </w:t>
      </w:r>
      <w:r>
        <w:rPr>
          <w:rFonts w:ascii="Calibri" w:hAnsi="Calibri"/>
          <w:color w:val="525866"/>
          <w:sz w:val="22"/>
        </w:rPr>
        <w:t>OXY provided a useful framing: WTI has averaged $76.32 in real prices since 1974 and $81.67 since 2001, suggesting current elevated prices are not historically anomalous and could persist.</w:t>
      </w:r>
    </w:p>
    <w:p>
      <w:pPr>
        <w:pStyle w:val="Heading3"/>
      </w:pPr>
      <w:r>
        <w:rPr>
          <w:rFonts w:ascii="Calibri" w:hAnsi="Calibri"/>
          <w:b/>
          <w:color w:val="3B4259"/>
          <w:sz w:val="24"/>
        </w:rPr>
        <w:t>EOG Resources (EOG) — Q1 2026 Earnings Call (May 6, 2026)</w:t>
      </w:r>
    </w:p>
    <w:p>
      <w:r>
        <w:rPr>
          <w:rFonts w:ascii="Calibri" w:hAnsi="Calibri"/>
          <w:b/>
          <w:color w:val="525866"/>
          <w:sz w:val="22"/>
        </w:rPr>
        <w:t xml:space="preserve">Read-Through Relevance: </w:t>
      </w:r>
      <w:r>
        <w:rPr>
          <w:rFonts w:ascii="Calibri" w:hAnsi="Calibri"/>
          <w:color w:val="525866"/>
          <w:sz w:val="22"/>
        </w:rPr>
        <w:t>EOG is a major Delaware Basin operator with significant Permian activity. EOG's Q1 2026 call provides commentary on oil price outlook and Delaware Basin completion activity relevant to TPL's royalty and water segments.</w:t>
      </w:r>
    </w:p>
    <w:p>
      <w:pPr>
        <w:pStyle w:val="ListBullet"/>
        <w:ind w:left="360" w:hanging="360"/>
      </w:pPr>
      <w:r>
        <w:rPr>
          <w:rFonts w:ascii="Calibri" w:hAnsi="Calibri"/>
          <w:b/>
          <w:color w:val="525866"/>
          <w:sz w:val="22"/>
        </w:rPr>
        <w:t xml:space="preserve">Reallocating capital to oil-weighted assets: </w:t>
      </w:r>
      <w:r>
        <w:rPr>
          <w:rFonts w:ascii="Calibri" w:hAnsi="Calibri"/>
          <w:color w:val="525866"/>
          <w:sz w:val="22"/>
        </w:rPr>
        <w:t>EOG is "increasing oil and NGL production while maintaining its $6.5B capital budget by reallocating capital from gas to oil-weighted assets," adding 5 net completions in the Delaware Basin in H2 2026. More Delaware completions = more royalty production and water demand on TPL acreage.</w:t>
      </w:r>
    </w:p>
    <w:p>
      <w:pPr>
        <w:pStyle w:val="ListBullet"/>
        <w:ind w:left="360" w:hanging="360"/>
      </w:pPr>
      <w:r>
        <w:rPr>
          <w:rFonts w:ascii="Calibri" w:hAnsi="Calibri"/>
          <w:b/>
          <w:color w:val="525866"/>
          <w:sz w:val="22"/>
        </w:rPr>
        <w:t xml:space="preserve">Delaware Basin completion efficiency up 17%: </w:t>
      </w:r>
      <w:r>
        <w:rPr>
          <w:rFonts w:ascii="Calibri" w:hAnsi="Calibri"/>
          <w:color w:val="525866"/>
          <w:sz w:val="22"/>
        </w:rPr>
        <w:t>"Completed feet per day increased by 17% during the first quarter" in the Delaware Basin. Higher completion efficiency means more wells completed per unit of time, accelerating royalty production ramp.</w:t>
      </w:r>
    </w:p>
    <w:p>
      <w:pPr>
        <w:pStyle w:val="ListBullet"/>
        <w:ind w:left="360" w:hanging="360"/>
      </w:pPr>
      <w:r>
        <w:rPr>
          <w:rFonts w:ascii="Calibri" w:hAnsi="Calibri"/>
          <w:b/>
          <w:color w:val="525866"/>
          <w:sz w:val="22"/>
        </w:rPr>
        <w:t xml:space="preserve">Constructive multi-year oil price view: </w:t>
      </w:r>
      <w:r>
        <w:rPr>
          <w:rFonts w:ascii="Calibri" w:hAnsi="Calibri"/>
          <w:color w:val="525866"/>
          <w:sz w:val="22"/>
        </w:rPr>
        <w:t>EOG is "a little bit more bullish going forward," anticipating an environment "above mid-cycle prices for the next few years" driven by inventory rebuilding, limited spare capacity, and higher geopolitical risk premium. This directly supports TPL's unhedged royalty revenue outlook.</w:t>
      </w:r>
    </w:p>
    <w:p>
      <w:pPr>
        <w:pStyle w:val="ListBullet"/>
        <w:ind w:left="360" w:hanging="360"/>
      </w:pPr>
      <w:r>
        <w:rPr>
          <w:rFonts w:ascii="Calibri" w:hAnsi="Calibri"/>
          <w:b/>
          <w:color w:val="525866"/>
          <w:sz w:val="22"/>
        </w:rPr>
        <w:t xml:space="preserve">Record $8.5B free cash flow projected for 2026: </w:t>
      </w:r>
      <w:r>
        <w:rPr>
          <w:rFonts w:ascii="Calibri" w:hAnsi="Calibri"/>
          <w:color w:val="525866"/>
          <w:sz w:val="22"/>
        </w:rPr>
        <w:t>At current strip pricing, EOG's 2026 plan generates a "record $8.5B in free cash flow," with at least 70% to be returned to shareholders. Financial strength supports sustained Permian drilling programs.</w:t>
      </w:r>
    </w:p>
    <w:p>
      <w:pPr>
        <w:pStyle w:val="ListBullet"/>
        <w:ind w:left="360" w:hanging="360"/>
      </w:pPr>
      <w:r>
        <w:rPr>
          <w:rFonts w:ascii="Calibri" w:hAnsi="Calibri"/>
          <w:b/>
          <w:color w:val="525866"/>
          <w:sz w:val="22"/>
        </w:rPr>
        <w:t xml:space="preserve">Waha pricing headwind expected to ease in Q4 2026: </w:t>
      </w:r>
      <w:r>
        <w:rPr>
          <w:rFonts w:ascii="Calibri" w:hAnsi="Calibri"/>
          <w:color w:val="525866"/>
          <w:sz w:val="22"/>
        </w:rPr>
        <w:t>EOG expects Waha pricing issues to "alleviate" when 4–5 MMcf/d of additional egress capacity comes online in Q4 2026. This is a positive for NGL/gas realizations on TPL acreage in H2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Call Date</w:t>
            </w:r>
          </w:p>
        </w:tc>
        <w:tc>
          <w:tcPr>
            <w:tcW w:type="dxa" w:w="2160"/>
            <w:shd w:val="clear" w:color="auto" w:fill="3B4259"/>
          </w:tcPr>
          <w:p>
            <w:r>
              <w:rPr>
                <w:rFonts w:ascii="Calibri" w:hAnsi="Calibri"/>
                <w:b/>
                <w:color w:val="FFFFFF"/>
                <w:sz w:val="22"/>
              </w:rPr>
              <w:t>Key TPL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VNOM (Viper Energy)</w:t>
            </w:r>
          </w:p>
        </w:tc>
        <w:tc>
          <w:tcPr>
            <w:tcW w:type="dxa" w:w="2160"/>
          </w:tcPr>
          <w:p>
            <w:r>
              <w:rPr>
                <w:rFonts w:ascii="Calibri" w:hAnsi="Calibri"/>
                <w:sz w:val="22"/>
              </w:rPr>
              <w:t>Aug 4, 2026 (Q2 2026)</w:t>
            </w:r>
          </w:p>
        </w:tc>
        <w:tc>
          <w:tcPr>
            <w:tcW w:type="dxa" w:w="2160"/>
          </w:tcPr>
          <w:p>
            <w:r>
              <w:rPr>
                <w:rFonts w:ascii="Calibri" w:hAnsi="Calibri"/>
                <w:sz w:val="22"/>
              </w:rPr>
              <w:t>691 gross wells turned to production in Q2; Q3 guidance implies ~4.5% sequential production growth; rig count trending up; oil prices "well above mid-cycle" in Q2</w:t>
            </w:r>
          </w:p>
        </w:tc>
        <w:tc>
          <w:tcPr>
            <w:tcW w:type="dxa" w:w="2160"/>
          </w:tcPr>
          <w:p>
            <w:r>
              <w:rPr>
                <w:rFonts w:ascii="Calibri" w:hAnsi="Calibri"/>
                <w:b/>
                <w:color w:val="30A46C"/>
                <w:sz w:val="22"/>
              </w:rPr>
              <w:t>Positive</w:t>
            </w:r>
          </w:p>
        </w:tc>
      </w:tr>
      <w:tr>
        <w:tc>
          <w:tcPr>
            <w:tcW w:type="dxa" w:w="2160"/>
          </w:tcPr>
          <w:p>
            <w:r>
              <w:rPr>
                <w:rFonts w:ascii="Calibri" w:hAnsi="Calibri"/>
                <w:sz w:val="22"/>
              </w:rPr>
              <w:t>FANG (Diamondback)</w:t>
            </w:r>
          </w:p>
        </w:tc>
        <w:tc>
          <w:tcPr>
            <w:tcW w:type="dxa" w:w="2160"/>
          </w:tcPr>
          <w:p>
            <w:r>
              <w:rPr>
                <w:rFonts w:ascii="Calibri" w:hAnsi="Calibri"/>
                <w:sz w:val="22"/>
              </w:rPr>
              <w:t>Aug 4, 2026 (Q2 2026)</w:t>
            </w:r>
          </w:p>
        </w:tc>
        <w:tc>
          <w:tcPr>
            <w:tcW w:type="dxa" w:w="2160"/>
          </w:tcPr>
          <w:p>
            <w:r>
              <w:rPr>
                <w:rFonts w:ascii="Calibri" w:hAnsi="Calibri"/>
                <w:sz w:val="22"/>
              </w:rPr>
              <w:t>Rig count up ~60 from bottom; 5 frac crews running consistently; lateral lengths &gt;12,000 ft; Barnett development accelerating; data center/water theme validated</w:t>
            </w:r>
          </w:p>
        </w:tc>
        <w:tc>
          <w:tcPr>
            <w:tcW w:type="dxa" w:w="2160"/>
          </w:tcPr>
          <w:p>
            <w:r>
              <w:rPr>
                <w:rFonts w:ascii="Calibri" w:hAnsi="Calibri"/>
                <w:b/>
                <w:color w:val="30A46C"/>
                <w:sz w:val="22"/>
              </w:rPr>
              <w:t>Positive</w:t>
            </w:r>
          </w:p>
        </w:tc>
      </w:tr>
      <w:tr>
        <w:tc>
          <w:tcPr>
            <w:tcW w:type="dxa" w:w="2160"/>
          </w:tcPr>
          <w:p>
            <w:r>
              <w:rPr>
                <w:rFonts w:ascii="Calibri" w:hAnsi="Calibri"/>
                <w:sz w:val="22"/>
              </w:rPr>
              <w:t>DVN (Devon Energy)</w:t>
            </w:r>
          </w:p>
        </w:tc>
        <w:tc>
          <w:tcPr>
            <w:tcW w:type="dxa" w:w="2160"/>
          </w:tcPr>
          <w:p>
            <w:r>
              <w:rPr>
                <w:rFonts w:ascii="Calibri" w:hAnsi="Calibri"/>
                <w:sz w:val="22"/>
              </w:rPr>
              <w:t>May 6, 2026 (Q1 2026)</w:t>
            </w:r>
          </w:p>
        </w:tc>
        <w:tc>
          <w:tcPr>
            <w:tcW w:type="dxa" w:w="2160"/>
          </w:tcPr>
          <w:p>
            <w:r>
              <w:rPr>
                <w:rFonts w:ascii="Calibri" w:hAnsi="Calibri"/>
                <w:sz w:val="22"/>
              </w:rPr>
              <w:t>Q2 production "expected to step up"; Delaware Basin is crown jewel; commodity backdrop "meaningfully stronger than underwrote"; Waha exposure declining</w:t>
            </w:r>
          </w:p>
        </w:tc>
        <w:tc>
          <w:tcPr>
            <w:tcW w:type="dxa" w:w="2160"/>
          </w:tcPr>
          <w:p>
            <w:r>
              <w:rPr>
                <w:rFonts w:ascii="Calibri" w:hAnsi="Calibri"/>
                <w:b/>
                <w:color w:val="30A46C"/>
                <w:sz w:val="22"/>
              </w:rPr>
              <w:t>Positive</w:t>
            </w:r>
          </w:p>
        </w:tc>
      </w:tr>
      <w:tr>
        <w:tc>
          <w:tcPr>
            <w:tcW w:type="dxa" w:w="2160"/>
          </w:tcPr>
          <w:p>
            <w:r>
              <w:rPr>
                <w:rFonts w:ascii="Calibri" w:hAnsi="Calibri"/>
                <w:sz w:val="22"/>
              </w:rPr>
              <w:t>OXY (Occidental)</w:t>
            </w:r>
          </w:p>
        </w:tc>
        <w:tc>
          <w:tcPr>
            <w:tcW w:type="dxa" w:w="2160"/>
          </w:tcPr>
          <w:p>
            <w:r>
              <w:rPr>
                <w:rFonts w:ascii="Calibri" w:hAnsi="Calibri"/>
                <w:sz w:val="22"/>
              </w:rPr>
              <w:t>May 6, 2026 (Q1 2026)</w:t>
            </w:r>
          </w:p>
        </w:tc>
        <w:tc>
          <w:tcPr>
            <w:tcW w:type="dxa" w:w="2160"/>
          </w:tcPr>
          <w:p>
            <w:r>
              <w:rPr>
                <w:rFonts w:ascii="Calibri" w:hAnsi="Calibri"/>
                <w:sz w:val="22"/>
              </w:rPr>
              <w:t>Permian unconventional production "expected to increase" in Q2; 7% well cost improvement on track; higher oil prices generating incremental cash flow</w:t>
            </w:r>
          </w:p>
        </w:tc>
        <w:tc>
          <w:tcPr>
            <w:tcW w:type="dxa" w:w="2160"/>
          </w:tcPr>
          <w:p>
            <w:r>
              <w:rPr>
                <w:rFonts w:ascii="Calibri" w:hAnsi="Calibri"/>
                <w:b/>
                <w:color w:val="30A46C"/>
                <w:sz w:val="22"/>
              </w:rPr>
              <w:t>Positive</w:t>
            </w:r>
          </w:p>
        </w:tc>
      </w:tr>
      <w:tr>
        <w:tc>
          <w:tcPr>
            <w:tcW w:type="dxa" w:w="2160"/>
          </w:tcPr>
          <w:p>
            <w:r>
              <w:rPr>
                <w:rFonts w:ascii="Calibri" w:hAnsi="Calibri"/>
                <w:sz w:val="22"/>
              </w:rPr>
              <w:t>EOG Resources</w:t>
            </w:r>
          </w:p>
        </w:tc>
        <w:tc>
          <w:tcPr>
            <w:tcW w:type="dxa" w:w="2160"/>
          </w:tcPr>
          <w:p>
            <w:r>
              <w:rPr>
                <w:rFonts w:ascii="Calibri" w:hAnsi="Calibri"/>
                <w:sz w:val="22"/>
              </w:rPr>
              <w:t>May 6, 2026 (Q1 2026)</w:t>
            </w:r>
          </w:p>
        </w:tc>
        <w:tc>
          <w:tcPr>
            <w:tcW w:type="dxa" w:w="2160"/>
          </w:tcPr>
          <w:p>
            <w:r>
              <w:rPr>
                <w:rFonts w:ascii="Calibri" w:hAnsi="Calibri"/>
                <w:sz w:val="22"/>
              </w:rPr>
              <w:t>Adding 5 net Delaware completions in H2 2026; completion efficiency up 17%; "above mid-cycle prices for next few years"; Waha headwind easing in Q4 2026</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first concrete data center land sale ($43M over 20 years, non-Bolt) and water supply agreement — proof that TPL's next-generation strategy is converting from narrative to revenue. The desalination Phase 2b facility going live is the second key catalyst to watch for Q2 commentary.</w:t>
      </w:r>
    </w:p>
    <w:p>
      <w:pPr>
        <w:pStyle w:val="ListBullet"/>
        <w:ind w:left="360" w:hanging="360"/>
      </w:pPr>
      <w:r>
        <w:rPr>
          <w:rFonts w:ascii="Calibri" w:hAnsi="Calibri"/>
          <w:b/>
          <w:color w:val="525866"/>
          <w:sz w:val="22"/>
        </w:rPr>
        <w:t xml:space="preserve">May 6, 2026 — Q1 2026 Earnings: First data center land deal announced. </w:t>
      </w:r>
      <w:r>
        <w:rPr>
          <w:rFonts w:ascii="Calibri" w:hAnsi="Calibri"/>
          <w:color w:val="525866"/>
          <w:sz w:val="22"/>
        </w:rPr>
        <w:t xml:space="preserve">TPL entered into an agreement to sell a small section of land for $43M structured into annual payments over 20 years, plus a separate water supply agreement for the same development. Critically, "this project is not Bolt related," demonstrating deal diversification beyond the initial Bolt Data &amp; Energy investment. </w:t>
      </w:r>
      <w:r>
        <w:rPr>
          <w:rFonts w:ascii="Calibri" w:hAnsi="Calibri"/>
          <w:b/>
          <w:color w:val="525866"/>
          <w:sz w:val="22"/>
        </w:rPr>
        <w:t xml:space="preserve">Implication: </w:t>
      </w:r>
      <w:r>
        <w:rPr>
          <w:rFonts w:ascii="Calibri" w:hAnsi="Calibri"/>
          <w:color w:val="525866"/>
          <w:sz w:val="22"/>
        </w:rPr>
        <w:t>Validates the data center/power generation land monetization thesis; market will watch for additional deals at Q2 earnings.</w:t>
      </w:r>
    </w:p>
    <w:p>
      <w:pPr>
        <w:pStyle w:val="ListBullet"/>
        <w:ind w:left="360" w:hanging="360"/>
      </w:pPr>
      <w:r>
        <w:rPr>
          <w:rFonts w:ascii="Calibri" w:hAnsi="Calibri"/>
          <w:b/>
          <w:color w:val="525866"/>
          <w:sz w:val="22"/>
        </w:rPr>
        <w:t xml:space="preserve">May 6, 2026 — Q1 2026 Earnings: Desalination Phase 2b facility "nearly complete." </w:t>
      </w:r>
      <w:r>
        <w:rPr>
          <w:rFonts w:ascii="Calibri" w:hAnsi="Calibri"/>
          <w:color w:val="525866"/>
          <w:sz w:val="22"/>
        </w:rPr>
        <w:t xml:space="preserve">The 10,000 barrel/day Phase 2b facility was expected to "begin flowing inlet water barrels in the coming weeks" as of the Q1 call. </w:t>
      </w:r>
      <w:r>
        <w:rPr>
          <w:rFonts w:ascii="Calibri" w:hAnsi="Calibri"/>
          <w:b/>
          <w:color w:val="525866"/>
          <w:sz w:val="22"/>
        </w:rPr>
        <w:t xml:space="preserve">Implication: </w:t>
      </w:r>
      <w:r>
        <w:rPr>
          <w:rFonts w:ascii="Calibri" w:hAnsi="Calibri"/>
          <w:color w:val="525866"/>
          <w:sz w:val="22"/>
        </w:rPr>
        <w:t>Q2 earnings call should provide the first operational update on Phase 2b performance — a key data point for the long-term produced water desalination opportunity.</w:t>
      </w:r>
    </w:p>
    <w:p>
      <w:pPr>
        <w:pStyle w:val="ListBullet"/>
        <w:ind w:left="360" w:hanging="360"/>
      </w:pPr>
      <w:r>
        <w:rPr>
          <w:rFonts w:ascii="Calibri" w:hAnsi="Calibri"/>
          <w:b/>
          <w:color w:val="525866"/>
          <w:sz w:val="22"/>
        </w:rPr>
        <w:t xml:space="preserve">May 6, 2026 — Q1 2026 Earnings: Record quarterly revenue, net income, and free cash flow. </w:t>
      </w:r>
      <w:r>
        <w:rPr>
          <w:rFonts w:ascii="Calibri" w:hAnsi="Calibri"/>
          <w:color w:val="525866"/>
          <w:sz w:val="22"/>
        </w:rPr>
        <w:t xml:space="preserve">Q1 2026 total revenue of $237M (+21% YoY, +12% sequential), net income and FCF of $136M (+15% sequential) all set quarterly records. </w:t>
      </w:r>
      <w:r>
        <w:rPr>
          <w:rFonts w:ascii="Calibri" w:hAnsi="Calibri"/>
          <w:b/>
          <w:color w:val="525866"/>
          <w:sz w:val="22"/>
        </w:rPr>
        <w:t xml:space="preserve">Implication: </w:t>
      </w:r>
      <w:r>
        <w:rPr>
          <w:rFonts w:ascii="Calibri" w:hAnsi="Calibri"/>
          <w:color w:val="525866"/>
          <w:sz w:val="22"/>
        </w:rPr>
        <w:t>Sets a high sequential bar for Q2, though consensus at $250M implies continued growth.</w:t>
      </w:r>
    </w:p>
    <w:p>
      <w:pPr>
        <w:pStyle w:val="ListBullet"/>
        <w:ind w:left="360" w:hanging="360"/>
      </w:pPr>
      <w:r>
        <w:rPr>
          <w:rFonts w:ascii="Calibri" w:hAnsi="Calibri"/>
          <w:b/>
          <w:color w:val="525866"/>
          <w:sz w:val="22"/>
        </w:rPr>
        <w:t xml:space="preserve">May 6, 2026 — Q1 2026 Earnings: Commodity price sensitivity disclosed. </w:t>
      </w:r>
      <w:r>
        <w:rPr>
          <w:rFonts w:ascii="Calibri" w:hAnsi="Calibri"/>
          <w:color w:val="525866"/>
          <w:sz w:val="22"/>
        </w:rPr>
        <w:t xml:space="preserve">Management quantified that every $10/bbl increase in oil realizations = ~$50M of annual revenue, and every $5/bbl increase in NGL realizations = ~$17M of annual revenue (based on FY 2025 volumes). </w:t>
      </w:r>
      <w:r>
        <w:rPr>
          <w:rFonts w:ascii="Calibri" w:hAnsi="Calibri"/>
          <w:b/>
          <w:color w:val="525866"/>
          <w:sz w:val="22"/>
        </w:rPr>
        <w:t xml:space="preserve">Implication: </w:t>
      </w:r>
      <w:r>
        <w:rPr>
          <w:rFonts w:ascii="Calibri" w:hAnsi="Calibri"/>
          <w:color w:val="525866"/>
          <w:sz w:val="22"/>
        </w:rPr>
        <w:t>With oil prices elevated in Q2 2026, this sensitivity framework suggests meaningful revenue upside vs. prior-year periods.</w:t>
      </w:r>
    </w:p>
    <w:p>
      <w:pPr>
        <w:pStyle w:val="ListBullet"/>
        <w:ind w:left="360" w:hanging="360"/>
      </w:pPr>
      <w:r>
        <w:rPr>
          <w:rFonts w:ascii="Calibri" w:hAnsi="Calibri"/>
          <w:b/>
          <w:color w:val="525866"/>
          <w:sz w:val="22"/>
        </w:rPr>
        <w:t xml:space="preserve">Q2 2026 (ongoing) — Permian rig count recovery. </w:t>
      </w:r>
      <w:r>
        <w:rPr>
          <w:rFonts w:ascii="Calibri" w:hAnsi="Calibri"/>
          <w:color w:val="525866"/>
          <w:sz w:val="22"/>
        </w:rPr>
        <w:t xml:space="preserve">Per FANG's Q2 2026 call, the U.S. rig count is up ~60 from the bottom with forecasts of up to 80 additional rigs. TPL noted only a "marginal uptick" in operator activity as of the Q1 call (May 6), but the FANG/VNOM Q2 commentary suggests the ramp has accelerated through Q2. </w:t>
      </w:r>
      <w:r>
        <w:rPr>
          <w:rFonts w:ascii="Calibri" w:hAnsi="Calibri"/>
          <w:b/>
          <w:color w:val="525866"/>
          <w:sz w:val="22"/>
        </w:rPr>
        <w:t xml:space="preserve">Implication: </w:t>
      </w:r>
      <w:r>
        <w:rPr>
          <w:rFonts w:ascii="Calibri" w:hAnsi="Calibri"/>
          <w:color w:val="525866"/>
          <w:sz w:val="22"/>
        </w:rPr>
        <w:t>Positive for Q2 and H2 2026 royalty production; could drive upward revisions to FY 2026 production consensus.</w:t>
      </w:r>
    </w:p>
    <w:p>
      <w:pPr>
        <w:pStyle w:val="ListBullet"/>
        <w:ind w:left="360" w:hanging="360"/>
      </w:pPr>
      <w:r>
        <w:rPr>
          <w:rFonts w:ascii="Calibri" w:hAnsi="Calibri"/>
          <w:b/>
          <w:color w:val="525866"/>
          <w:sz w:val="22"/>
        </w:rPr>
        <w:t xml:space="preserve">Q2 2026 (ongoing) — Hyperscaler and AI lab activity in West Texas. </w:t>
      </w:r>
      <w:r>
        <w:rPr>
          <w:rFonts w:ascii="Calibri" w:hAnsi="Calibri"/>
          <w:color w:val="525866"/>
          <w:sz w:val="22"/>
        </w:rPr>
        <w:t xml:space="preserve">FANG confirmed its 3,000-acre Bryant Ranch data center project near Midland is advancing (first gas H2 2027, grid power 2028). TPL management stated on the Q1 call that "virtually every major hyperscaler and AI lab are evaluating large-scale plans in Texas." </w:t>
      </w:r>
      <w:r>
        <w:rPr>
          <w:rFonts w:ascii="Calibri" w:hAnsi="Calibri"/>
          <w:b/>
          <w:color w:val="525866"/>
          <w:sz w:val="22"/>
        </w:rPr>
        <w:t xml:space="preserve">Implication: </w:t>
      </w:r>
      <w:r>
        <w:rPr>
          <w:rFonts w:ascii="Calibri" w:hAnsi="Calibri"/>
          <w:color w:val="525866"/>
          <w:sz w:val="22"/>
        </w:rPr>
        <w:t>Increasing competitive urgency for West Texas land and water supply; TPL's irreplaceable 880,000-acre position is a structural advantage.</w:t>
      </w:r>
    </w:p>
    <w:p>
      <w:pPr>
        <w:pStyle w:val="ListBullet"/>
        <w:ind w:left="360" w:hanging="360"/>
      </w:pPr>
      <w:r>
        <w:rPr>
          <w:rFonts w:ascii="Calibri" w:hAnsi="Calibri"/>
          <w:b/>
          <w:color w:val="525866"/>
          <w:sz w:val="22"/>
        </w:rPr>
        <w:t xml:space="preserve">December 2025 — Bolt Data &amp; Energy strategic investment. </w:t>
      </w:r>
      <w:r>
        <w:rPr>
          <w:rFonts w:ascii="Calibri" w:hAnsi="Calibri"/>
          <w:color w:val="525866"/>
          <w:sz w:val="22"/>
        </w:rPr>
        <w:t xml:space="preserve">TPL announced a strategic investment in Bolt Data &amp; Energy (AI infrastructure platform chaired by former Google CEO Eric Schmidt) with a right of first refusal to provide water to Bolt-affiliated projects. </w:t>
      </w:r>
      <w:r>
        <w:rPr>
          <w:rFonts w:ascii="Calibri" w:hAnsi="Calibri"/>
          <w:b/>
          <w:color w:val="525866"/>
          <w:sz w:val="22"/>
        </w:rPr>
        <w:t xml:space="preserve">Implication: </w:t>
      </w:r>
      <w:r>
        <w:rPr>
          <w:rFonts w:ascii="Calibri" w:hAnsi="Calibri"/>
          <w:color w:val="525866"/>
          <w:sz w:val="22"/>
        </w:rPr>
        <w:t>Provides a pipeline of potential future water supply agreements; the Q1 non-Bolt deal shows TPL is not solely dependent on Bolt for data center revenue.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notable insider activity since Q1 earnings is a small 10b5-1 planned sale by CFO Chris Steddum (~4,000 shares, ~$1.6M) in early June 2026 — routine and obligation-driven. Horizon Kinetics Asset Management (10%+ owner) has been buying 1–2 shares per day continuously since May 2026, which is a mechanical accumulation pattern rather than a discretionary signal. No open-market discretionary buys or large sales by officers or directors.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Steddum, Chris</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3,170</w:t>
            </w:r>
          </w:p>
        </w:tc>
        <w:tc>
          <w:tcPr>
            <w:tcW w:type="dxa" w:w="1234"/>
          </w:tcPr>
          <w:p>
            <w:r>
              <w:rPr>
                <w:rFonts w:ascii="Calibri" w:hAnsi="Calibri"/>
                <w:sz w:val="22"/>
              </w:rPr>
              <w:t>~$1.2M</w:t>
            </w:r>
          </w:p>
        </w:tc>
        <w:tc>
          <w:tcPr>
            <w:tcW w:type="dxa" w:w="1234"/>
          </w:tcPr>
          <w:p>
            <w:r>
              <w:rPr>
                <w:rFonts w:ascii="Calibri" w:hAnsi="Calibri"/>
                <w:sz w:val="22"/>
              </w:rPr>
              <w:t>Jun 5, 2026</w:t>
            </w:r>
          </w:p>
        </w:tc>
        <w:tc>
          <w:tcPr>
            <w:tcW w:type="dxa" w:w="1234"/>
          </w:tcPr>
          <w:p>
            <w:r>
              <w:rPr>
                <w:rFonts w:ascii="Calibri" w:hAnsi="Calibri"/>
                <w:sz w:val="22"/>
              </w:rPr>
              <w:t>Pre-planned 10b5-1 sale; routine/obligation-driven. Not discretionary.</w:t>
            </w:r>
          </w:p>
        </w:tc>
      </w:tr>
      <w:tr>
        <w:tc>
          <w:tcPr>
            <w:tcW w:type="dxa" w:w="1234"/>
          </w:tcPr>
          <w:p>
            <w:r>
              <w:rPr>
                <w:rFonts w:ascii="Calibri" w:hAnsi="Calibri"/>
                <w:sz w:val="22"/>
              </w:rPr>
              <w:t>Steddum, Chris</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830</w:t>
            </w:r>
          </w:p>
        </w:tc>
        <w:tc>
          <w:tcPr>
            <w:tcW w:type="dxa" w:w="1234"/>
          </w:tcPr>
          <w:p>
            <w:r>
              <w:rPr>
                <w:rFonts w:ascii="Calibri" w:hAnsi="Calibri"/>
                <w:sz w:val="22"/>
              </w:rPr>
              <w:t>~$0.3M</w:t>
            </w:r>
          </w:p>
        </w:tc>
        <w:tc>
          <w:tcPr>
            <w:tcW w:type="dxa" w:w="1234"/>
          </w:tcPr>
          <w:p>
            <w:r>
              <w:rPr>
                <w:rFonts w:ascii="Calibri" w:hAnsi="Calibri"/>
                <w:sz w:val="22"/>
              </w:rPr>
              <w:t>Jun 8, 2026</w:t>
            </w:r>
          </w:p>
        </w:tc>
        <w:tc>
          <w:tcPr>
            <w:tcW w:type="dxa" w:w="1234"/>
          </w:tcPr>
          <w:p>
            <w:r>
              <w:rPr>
                <w:rFonts w:ascii="Calibri" w:hAnsi="Calibri"/>
                <w:sz w:val="22"/>
              </w:rPr>
              <w:t>Pre-planned 10b5-1 sale; routine/obligation-driven. Not discretionary.</w:t>
            </w:r>
          </w:p>
        </w:tc>
      </w:tr>
      <w:tr>
        <w:tc>
          <w:tcPr>
            <w:tcW w:type="dxa" w:w="1234"/>
          </w:tcPr>
          <w:p>
            <w:r>
              <w:rPr>
                <w:rFonts w:ascii="Calibri" w:hAnsi="Calibri"/>
                <w:sz w:val="22"/>
              </w:rPr>
              <w:t>Doyle, Peter</w:t>
            </w:r>
          </w:p>
        </w:tc>
        <w:tc>
          <w:tcPr>
            <w:tcW w:type="dxa" w:w="1234"/>
          </w:tcPr>
          <w:p>
            <w:r>
              <w:rPr>
                <w:rFonts w:ascii="Calibri" w:hAnsi="Calibri"/>
                <w:sz w:val="22"/>
              </w:rPr>
              <w:t>Director</w:t>
            </w:r>
          </w:p>
        </w:tc>
        <w:tc>
          <w:tcPr>
            <w:tcW w:type="dxa" w:w="1234"/>
          </w:tcPr>
          <w:p>
            <w:r>
              <w:rPr>
                <w:rFonts w:ascii="Calibri" w:hAnsi="Calibri"/>
                <w:sz w:val="22"/>
              </w:rPr>
              <w:t>Award (Code A)</w:t>
            </w:r>
          </w:p>
        </w:tc>
        <w:tc>
          <w:tcPr>
            <w:tcW w:type="dxa" w:w="1234"/>
          </w:tcPr>
          <w:p>
            <w:r>
              <w:rPr>
                <w:rFonts w:ascii="Calibri" w:hAnsi="Calibri"/>
                <w:sz w:val="22"/>
              </w:rPr>
              <w:t>254</w:t>
            </w:r>
          </w:p>
        </w:tc>
        <w:tc>
          <w:tcPr>
            <w:tcW w:type="dxa" w:w="1234"/>
          </w:tcPr>
          <w:p>
            <w:r>
              <w:rPr>
                <w:rFonts w:ascii="Calibri" w:hAnsi="Calibri"/>
                <w:sz w:val="22"/>
              </w:rPr>
              <w:t>~$0.1M</w:t>
            </w:r>
          </w:p>
        </w:tc>
        <w:tc>
          <w:tcPr>
            <w:tcW w:type="dxa" w:w="1234"/>
          </w:tcPr>
          <w:p>
            <w:r>
              <w:rPr>
                <w:rFonts w:ascii="Calibri" w:hAnsi="Calibri"/>
                <w:sz w:val="22"/>
              </w:rPr>
              <w:t>May 8, 2026</w:t>
            </w:r>
          </w:p>
        </w:tc>
        <w:tc>
          <w:tcPr>
            <w:tcW w:type="dxa" w:w="1234"/>
          </w:tcPr>
          <w:p>
            <w:r>
              <w:rPr>
                <w:rFonts w:ascii="Calibri" w:hAnsi="Calibri"/>
                <w:sz w:val="22"/>
              </w:rPr>
              <w:t>Equity award/grant; not an open-market purchase. No signal.</w:t>
            </w:r>
          </w:p>
        </w:tc>
      </w:tr>
      <w:tr>
        <w:tc>
          <w:tcPr>
            <w:tcW w:type="dxa" w:w="1234"/>
          </w:tcPr>
          <w:p>
            <w:r>
              <w:rPr>
                <w:rFonts w:ascii="Calibri" w:hAnsi="Calibri"/>
                <w:sz w:val="22"/>
              </w:rPr>
              <w:t>Horizon Kinetics Asset Mgmt LLC</w:t>
            </w:r>
          </w:p>
        </w:tc>
        <w:tc>
          <w:tcPr>
            <w:tcW w:type="dxa" w:w="1234"/>
          </w:tcPr>
          <w:p>
            <w:r>
              <w:rPr>
                <w:rFonts w:ascii="Calibri" w:hAnsi="Calibri"/>
                <w:sz w:val="22"/>
              </w:rPr>
              <w:t>10%+ Owner</w:t>
            </w:r>
          </w:p>
        </w:tc>
        <w:tc>
          <w:tcPr>
            <w:tcW w:type="dxa" w:w="1234"/>
          </w:tcPr>
          <w:p>
            <w:r>
              <w:rPr>
                <w:rFonts w:ascii="Calibri" w:hAnsi="Calibri"/>
                <w:sz w:val="22"/>
              </w:rPr>
              <w:t>Open Market Buy (continuous)</w:t>
            </w:r>
          </w:p>
        </w:tc>
        <w:tc>
          <w:tcPr>
            <w:tcW w:type="dxa" w:w="1234"/>
          </w:tcPr>
          <w:p>
            <w:r>
              <w:rPr>
                <w:rFonts w:ascii="Calibri" w:hAnsi="Calibri"/>
                <w:sz w:val="22"/>
              </w:rPr>
              <w:t>1–2 shares/day</w:t>
            </w:r>
          </w:p>
        </w:tc>
        <w:tc>
          <w:tcPr>
            <w:tcW w:type="dxa" w:w="1234"/>
          </w:tcPr>
          <w:p>
            <w:r>
              <w:rPr>
                <w:rFonts w:ascii="Calibri" w:hAnsi="Calibri"/>
                <w:sz w:val="22"/>
              </w:rPr>
              <w:t>~$400–$800/day</w:t>
            </w:r>
          </w:p>
        </w:tc>
        <w:tc>
          <w:tcPr>
            <w:tcW w:type="dxa" w:w="1234"/>
          </w:tcPr>
          <w:p>
            <w:r>
              <w:rPr>
                <w:rFonts w:ascii="Calibri" w:hAnsi="Calibri"/>
                <w:sz w:val="22"/>
              </w:rPr>
              <w:t>May 5 – Aug 3, 2026 (daily)</w:t>
            </w:r>
          </w:p>
        </w:tc>
        <w:tc>
          <w:tcPr>
            <w:tcW w:type="dxa" w:w="1234"/>
          </w:tcPr>
          <w:p>
            <w:r>
              <w:rPr>
                <w:rFonts w:ascii="Calibri" w:hAnsi="Calibri"/>
                <w:sz w:val="22"/>
              </w:rPr>
              <w:t>Mechanical daily accumulation pattern; consistent with a systematic buying program. Not a discretionary signal. Total ~60 shares accumulated over the period.</w:t>
            </w:r>
          </w:p>
        </w:tc>
      </w:tr>
    </w:tbl>
    <w:p>
      <w:r>
        <w:rPr>
          <w:rFonts w:ascii="Calibri" w:hAnsi="Calibri"/>
          <w:color w:val="525866"/>
          <w:sz w:val="22"/>
        </w:rPr>
        <w:t>Source: SEC Form 4 filings via Insider Transaction Data. Open-market buys (Code P) and sales (Code S) only, plus 10b5-1 plan disclosures. Award transactions (Code A) included for completeness but carry no directional signal.</w:t>
      </w:r>
    </w:p>
    <w:p>
      <w:r>
        <w:rPr>
          <w:rFonts w:ascii="Calibri" w:hAnsi="Calibri"/>
          <w:b/>
          <w:color w:val="525866"/>
          <w:sz w:val="22"/>
        </w:rPr>
        <w:t xml:space="preserve">Assessment: </w:t>
      </w:r>
      <w:r>
        <w:rPr>
          <w:rFonts w:ascii="Calibri" w:hAnsi="Calibri"/>
          <w:color w:val="525866"/>
          <w:sz w:val="22"/>
        </w:rPr>
        <w:t>Nothing stands out as a meaningful insider signal. The CFO's 10b5-1 sales are pre-planned and routine. Horizon Kinetics' daily 1–2 share purchases are a mechanical accumulation pattern consistent with a systematic program, not a discretionary conviction buy. The absence of any open-market discretionary purchases by officers or directors ahead of Q2 earnings is neutral — neither a red flag nor a green flag.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