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Texas Pacific Land Corporation (TPL)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Texas Pacific Land Corporation</w:t>
            </w:r>
          </w:p>
        </w:tc>
      </w:tr>
      <w:tr>
        <w:tc>
          <w:tcPr>
            <w:tcW w:type="dxa" w:w="4320"/>
          </w:tcPr>
          <w:p>
            <w:r>
              <w:rPr>
                <w:rFonts w:ascii="Calibri" w:hAnsi="Calibri"/>
                <w:b/>
                <w:sz w:val="22"/>
              </w:rPr>
              <w:t>Ticker</w:t>
            </w:r>
          </w:p>
        </w:tc>
        <w:tc>
          <w:tcPr>
            <w:tcW w:type="dxa" w:w="4320"/>
          </w:tcPr>
          <w:p>
            <w:r>
              <w:rPr>
                <w:rFonts w:ascii="Calibri" w:hAnsi="Calibri"/>
                <w:sz w:val="22"/>
              </w:rPr>
              <w:t>TPL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Earnings Call 10:30 AM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Primary Valuation Metric</w:t>
            </w:r>
          </w:p>
        </w:tc>
        <w:tc>
          <w:tcPr>
            <w:tcW w:type="dxa" w:w="4320"/>
          </w:tcPr>
          <w:p>
            <w:r>
              <w:rPr>
                <w:rFonts w:ascii="Calibri" w:hAnsi="Calibri"/>
                <w:sz w:val="22"/>
              </w:rPr>
              <w:t>EV/EBITDA — NTM 30.9x (as of Aug 4,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has been revised down since Q1 earnings, creating a lower bar, while a step-up in realized oil prices (~$97/bbl for Permian peers in Q2) and the Chevron Project Kilby land deal provide tangible upside catalysts; the biggest swing factor is whether water segment revenue rebounds from Q1's soft print.</w:t>
      </w:r>
      <w:r>
        <w:rPr>
          <w:rFonts w:ascii="Calibri" w:hAnsi="Calibri"/>
          <w:b/>
          <w:color w:val="525866"/>
          <w:sz w:val="22"/>
        </w:rPr>
        <w:t xml:space="preserve"> The biggest swing factor is whether water segment revenue rebounds from Q1’s soft print.</w:t>
      </w:r>
    </w:p>
    <w:p>
      <w:r>
        <w:rPr>
          <w:rFonts w:ascii="Calibri" w:hAnsi="Calibri"/>
          <w:color w:val="525866"/>
          <w:sz w:val="22"/>
        </w:rPr>
        <w:t xml:space="preserve">Heading into Q2 2026 results, TPL’s setup is modestly favorable: consensus EPS of $2.19 sits below the Q1 2026 actual of $2.07 on a sequential basis but implies meaningful year-over-year growth, and the estimate trajectory has drifted lower since the May 7 print (from $2.42 to $2.19), creating a bar that should be achievable. </w:t>
      </w:r>
      <w:r>
        <w:rPr>
          <w:rFonts w:ascii="Calibri" w:hAnsi="Calibri"/>
          <w:color w:val="525866"/>
          <w:sz w:val="22"/>
        </w:rPr>
        <w:t>Realized oil prices surged in Q2 — Diamondback Energy reported $96.82/bbl unhedged in the Permian — a direct tailwind for TPL’s fully unhedged royalty stream.</w:t>
      </w:r>
      <w:r>
        <w:rPr>
          <w:rFonts w:ascii="Calibri" w:hAnsi="Calibri"/>
          <w:color w:val="525866"/>
          <w:sz w:val="22"/>
        </w:rPr>
        <w:t xml:space="preserve"> Management’s tone on the Q1 call was confident and forward-leaning, emphasizing the company’s unhedged upside capture and the first concrete data center/power generation land deal (Project Kilby with Chevron, announced June 23), which should contribute a one-time land sale revenue item in Q2 and introduce a long-duration water supply contract.</w:t>
      </w:r>
      <w:r>
        <w:rPr>
          <w:rFonts w:ascii="Calibri" w:hAnsi="Calibri"/>
          <w:color w:val="525866"/>
          <w:sz w:val="22"/>
        </w:rPr>
        <w:t xml:space="preserve"> The stock has underperformed XOP since Q1 earnings (TPL −6% vs. XOP +2%), suggesting the market has not yet priced in the commodity tailwind or the Chevron deal, leaving room for a positive re-rating on a clean beat.</w:t>
      </w:r>
      <w:r>
        <w:rPr>
          <w:rFonts w:ascii="Calibri" w:hAnsi="Calibri"/>
          <w:color w:val="525866"/>
          <w:sz w:val="22"/>
        </w:rPr>
        <w:t xml:space="preserve"> The key wildcard is water segment revenue: Q1 water sales of $46.9M came in well above consensus but EBITDA margins compressed, and any sequential softness in water volumes or a lumpy SLEM quarter could disappoint even against a lowered bar.</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after post-Q1 downward revisions; royalty production volume (BOE/d) and water segment revenue are the two biggest swing factors, with the Chevron land deal introducing a one-time revenue item that could create noise in reported vs. adjusted comparisons.</w:t>
      </w:r>
    </w:p>
    <w:p>
      <w:pPr>
        <w:pStyle w:val="Heading2"/>
      </w:pPr>
      <w:r>
        <w:rPr>
          <w:rFonts w:ascii="Calibri" w:hAnsi="Calibri"/>
          <w:b/>
          <w:color w:val="3B4259"/>
          <w:sz w:val="28"/>
        </w:rPr>
        <w:t>Table 1 — Current Quarter Snapshot (Q2 2026 Consensus vs. Prior Periods)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$236.8M</w:t>
            </w:r>
          </w:p>
        </w:tc>
        <w:tc>
          <w:tcPr>
            <w:tcW w:type="dxa" w:w="1234"/>
          </w:tcPr>
          <w:p>
            <w:r>
              <w:rPr>
                <w:rFonts w:ascii="Calibri" w:hAnsi="Calibri"/>
                <w:sz w:val="22"/>
              </w:rPr>
              <w:t>$187.5M</w:t>
            </w:r>
          </w:p>
        </w:tc>
        <w:tc>
          <w:tcPr>
            <w:tcW w:type="dxa" w:w="1234"/>
          </w:tcPr>
          <w:p>
            <w:r>
              <w:rPr>
                <w:rFonts w:ascii="Calibri" w:hAnsi="Calibri"/>
                <w:sz w:val="22"/>
              </w:rPr>
              <w:t>$249.6M</w:t>
            </w:r>
          </w:p>
        </w:tc>
        <w:tc>
          <w:tcPr>
            <w:tcW w:type="dxa" w:w="1234"/>
          </w:tcPr>
          <w:p>
            <w:r>
              <w:rPr>
                <w:rFonts w:ascii="Calibri" w:hAnsi="Calibri"/>
                <w:b/>
                <w:color w:val="30A46C"/>
                <w:sz w:val="22"/>
              </w:rPr>
              <w:t>+33.1%</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EPS — Diluted ($)</w:t>
            </w:r>
          </w:p>
        </w:tc>
        <w:tc>
          <w:tcPr>
            <w:tcW w:type="dxa" w:w="1234"/>
          </w:tcPr>
          <w:p>
            <w:r>
              <w:rPr>
                <w:rFonts w:ascii="Calibri" w:hAnsi="Calibri"/>
                <w:sz w:val="22"/>
              </w:rPr>
              <w:t>$2.07</w:t>
            </w:r>
          </w:p>
        </w:tc>
        <w:tc>
          <w:tcPr>
            <w:tcW w:type="dxa" w:w="1234"/>
          </w:tcPr>
          <w:p>
            <w:r>
              <w:rPr>
                <w:rFonts w:ascii="Calibri" w:hAnsi="Calibri"/>
                <w:sz w:val="22"/>
              </w:rPr>
              <w:t>$1.68</w:t>
            </w:r>
          </w:p>
        </w:tc>
        <w:tc>
          <w:tcPr>
            <w:tcW w:type="dxa" w:w="1234"/>
          </w:tcPr>
          <w:p>
            <w:r>
              <w:rPr>
                <w:rFonts w:ascii="Calibri" w:hAnsi="Calibri"/>
                <w:sz w:val="22"/>
              </w:rPr>
              <w:t>$2.19</w:t>
            </w:r>
          </w:p>
        </w:tc>
        <w:tc>
          <w:tcPr>
            <w:tcW w:type="dxa" w:w="1234"/>
          </w:tcPr>
          <w:p>
            <w:r>
              <w:rPr>
                <w:rFonts w:ascii="Calibri" w:hAnsi="Calibri"/>
                <w:b/>
                <w:color w:val="30A46C"/>
                <w:sz w:val="22"/>
              </w:rPr>
              <w:t>+30.4%</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Royalty Production (BOE/d)</w:t>
            </w:r>
          </w:p>
        </w:tc>
        <w:tc>
          <w:tcPr>
            <w:tcW w:type="dxa" w:w="1234"/>
          </w:tcPr>
          <w:p>
            <w:r>
              <w:rPr>
                <w:rFonts w:ascii="Calibri" w:hAnsi="Calibri"/>
                <w:sz w:val="22"/>
              </w:rPr>
              <w:t>37,100</w:t>
            </w:r>
          </w:p>
        </w:tc>
        <w:tc>
          <w:tcPr>
            <w:tcW w:type="dxa" w:w="1234"/>
          </w:tcPr>
          <w:p>
            <w:r>
              <w:rPr>
                <w:rFonts w:ascii="Calibri" w:hAnsi="Calibri"/>
                <w:sz w:val="22"/>
              </w:rPr>
              <w:t>33,200</w:t>
            </w:r>
          </w:p>
        </w:tc>
        <w:tc>
          <w:tcPr>
            <w:tcW w:type="dxa" w:w="1234"/>
          </w:tcPr>
          <w:p>
            <w:r>
              <w:rPr>
                <w:rFonts w:ascii="Calibri" w:hAnsi="Calibri"/>
                <w:sz w:val="22"/>
              </w:rPr>
              <w:t>38,530</w:t>
            </w:r>
          </w:p>
        </w:tc>
        <w:tc>
          <w:tcPr>
            <w:tcW w:type="dxa" w:w="1234"/>
          </w:tcPr>
          <w:p>
            <w:r>
              <w:rPr>
                <w:rFonts w:ascii="Calibri" w:hAnsi="Calibri"/>
                <w:b/>
                <w:color w:val="30A46C"/>
                <w:sz w:val="22"/>
              </w:rPr>
              <w:t>+16.1%</w:t>
            </w:r>
          </w:p>
        </w:tc>
        <w:tc>
          <w:tcPr>
            <w:tcW w:type="dxa" w:w="1234"/>
          </w:tcPr>
          <w:p>
            <w:r>
              <w:rPr>
                <w:rFonts w:ascii="Calibri" w:hAnsi="Calibri"/>
                <w:sz w:val="22"/>
              </w:rPr>
              <w:t>No formal guidance; mgmt noted 20.7 net line-of-sight wells (+11% seq. normalized)</w:t>
            </w:r>
          </w:p>
        </w:tc>
        <w:tc>
          <w:tcPr>
            <w:tcW w:type="dxa" w:w="1234"/>
          </w:tcPr>
          <w:p>
            <w:r>
              <w:rPr>
                <w:rFonts w:ascii="Calibri" w:hAnsi="Calibri"/>
                <w:sz w:val="22"/>
              </w:rPr>
              <w:t>N/A</w:t>
            </w:r>
          </w:p>
        </w:tc>
      </w:tr>
      <w:tr>
        <w:tc>
          <w:tcPr>
            <w:tcW w:type="dxa" w:w="1234"/>
          </w:tcPr>
          <w:p>
            <w:r>
              <w:rPr>
                <w:rFonts w:ascii="Calibri" w:hAnsi="Calibri"/>
                <w:sz w:val="22"/>
              </w:rPr>
              <w:t>Water Sales Revenue ($M)</w:t>
            </w:r>
          </w:p>
        </w:tc>
        <w:tc>
          <w:tcPr>
            <w:tcW w:type="dxa" w:w="1234"/>
          </w:tcPr>
          <w:p>
            <w:r>
              <w:rPr>
                <w:rFonts w:ascii="Calibri" w:hAnsi="Calibri"/>
                <w:sz w:val="22"/>
              </w:rPr>
              <w:t>$46.9M</w:t>
            </w:r>
          </w:p>
        </w:tc>
        <w:tc>
          <w:tcPr>
            <w:tcW w:type="dxa" w:w="1234"/>
          </w:tcPr>
          <w:p>
            <w:r>
              <w:rPr>
                <w:rFonts w:ascii="Calibri" w:hAnsi="Calibri"/>
                <w:sz w:val="22"/>
              </w:rPr>
              <w:t>$25.6M</w:t>
            </w:r>
          </w:p>
        </w:tc>
        <w:tc>
          <w:tcPr>
            <w:tcW w:type="dxa" w:w="1234"/>
          </w:tcPr>
          <w:p>
            <w:r>
              <w:rPr>
                <w:rFonts w:ascii="Calibri" w:hAnsi="Calibri"/>
                <w:sz w:val="22"/>
              </w:rPr>
              <w:t>$51.5M</w:t>
            </w:r>
          </w:p>
        </w:tc>
        <w:tc>
          <w:tcPr>
            <w:tcW w:type="dxa" w:w="1234"/>
          </w:tcPr>
          <w:p>
            <w:r>
              <w:rPr>
                <w:rFonts w:ascii="Calibri" w:hAnsi="Calibri"/>
                <w:b/>
                <w:color w:val="30A46C"/>
                <w:sz w:val="22"/>
              </w:rPr>
              <w:t>+101.4%</w:t>
            </w:r>
          </w:p>
        </w:tc>
        <w:tc>
          <w:tcPr>
            <w:tcW w:type="dxa" w:w="1234"/>
          </w:tcPr>
          <w:p>
            <w:r>
              <w:rPr>
                <w:rFonts w:ascii="Calibri" w:hAnsi="Calibri"/>
                <w:sz w:val="22"/>
              </w:rPr>
              <w:t>No formal guidance; mgmt flagged lumpiness in SLEM; Phase 2b desalination online in May 2026</w:t>
            </w:r>
          </w:p>
        </w:tc>
        <w:tc>
          <w:tcPr>
            <w:tcW w:type="dxa" w:w="1234"/>
          </w:tcPr>
          <w:p>
            <w:r>
              <w:rPr>
                <w:rFonts w:ascii="Calibri" w:hAnsi="Calibri"/>
                <w:sz w:val="22"/>
              </w:rPr>
              <w:t>N/A</w:t>
            </w:r>
          </w:p>
        </w:tc>
      </w:tr>
      <w:tr>
        <w:tc>
          <w:tcPr>
            <w:tcW w:type="dxa" w:w="1234"/>
          </w:tcPr>
          <w:p>
            <w:r>
              <w:rPr>
                <w:rFonts w:ascii="Calibri" w:hAnsi="Calibri"/>
                <w:sz w:val="22"/>
              </w:rPr>
              <w:t>Produced Water Royalties ($M)</w:t>
            </w:r>
          </w:p>
        </w:tc>
        <w:tc>
          <w:tcPr>
            <w:tcW w:type="dxa" w:w="1234"/>
          </w:tcPr>
          <w:p>
            <w:r>
              <w:rPr>
                <w:rFonts w:ascii="Calibri" w:hAnsi="Calibri"/>
                <w:sz w:val="22"/>
              </w:rPr>
              <w:t>$33.5M</w:t>
            </w:r>
          </w:p>
        </w:tc>
        <w:tc>
          <w:tcPr>
            <w:tcW w:type="dxa" w:w="1234"/>
          </w:tcPr>
          <w:p>
            <w:r>
              <w:rPr>
                <w:rFonts w:ascii="Calibri" w:hAnsi="Calibri"/>
                <w:sz w:val="22"/>
              </w:rPr>
              <w:t>$30.7M</w:t>
            </w:r>
          </w:p>
        </w:tc>
        <w:tc>
          <w:tcPr>
            <w:tcW w:type="dxa" w:w="1234"/>
          </w:tcPr>
          <w:p>
            <w:r>
              <w:rPr>
                <w:rFonts w:ascii="Calibri" w:hAnsi="Calibri"/>
                <w:sz w:val="22"/>
              </w:rPr>
              <w:t>$35.8M</w:t>
            </w:r>
          </w:p>
        </w:tc>
        <w:tc>
          <w:tcPr>
            <w:tcW w:type="dxa" w:w="1234"/>
          </w:tcPr>
          <w:p>
            <w:r>
              <w:rPr>
                <w:rFonts w:ascii="Calibri" w:hAnsi="Calibri"/>
                <w:b/>
                <w:color w:val="30A46C"/>
                <w:sz w:val="22"/>
              </w:rPr>
              <w:t>+16.6%</w:t>
            </w:r>
          </w:p>
        </w:tc>
        <w:tc>
          <w:tcPr>
            <w:tcW w:type="dxa" w:w="1234"/>
          </w:tcPr>
          <w:p>
            <w:r>
              <w:rPr>
                <w:rFonts w:ascii="Calibri" w:hAnsi="Calibri"/>
                <w:sz w:val="22"/>
              </w:rPr>
              <w:t>No formal guidance; mgmt bullish on produced water; advised 3-quarter trend view</w:t>
            </w:r>
          </w:p>
        </w:tc>
        <w:tc>
          <w:tcPr>
            <w:tcW w:type="dxa" w:w="1234"/>
          </w:tcPr>
          <w:p>
            <w:r>
              <w:rPr>
                <w:rFonts w:ascii="Calibri" w:hAnsi="Calibri"/>
                <w:sz w:val="22"/>
              </w:rPr>
              <w:t>N/A</w:t>
            </w:r>
          </w:p>
        </w:tc>
      </w:tr>
      <w:tr>
        <w:tc>
          <w:tcPr>
            <w:tcW w:type="dxa" w:w="1234"/>
          </w:tcPr>
          <w:p>
            <w:r>
              <w:rPr>
                <w:rFonts w:ascii="Calibri" w:hAnsi="Calibri"/>
                <w:sz w:val="22"/>
              </w:rPr>
              <w:t>Adj. EBITDA ($M)</w:t>
            </w:r>
          </w:p>
        </w:tc>
        <w:tc>
          <w:tcPr>
            <w:tcW w:type="dxa" w:w="1234"/>
          </w:tcPr>
          <w:p>
            <w:r>
              <w:rPr>
                <w:rFonts w:ascii="Calibri" w:hAnsi="Calibri"/>
                <w:sz w:val="22"/>
              </w:rPr>
              <w:t>$198.6M</w:t>
            </w:r>
          </w:p>
        </w:tc>
        <w:tc>
          <w:tcPr>
            <w:tcW w:type="dxa" w:w="1234"/>
          </w:tcPr>
          <w:p>
            <w:r>
              <w:rPr>
                <w:rFonts w:ascii="Calibri" w:hAnsi="Calibri"/>
                <w:sz w:val="22"/>
              </w:rPr>
              <w:t>$162.7M</w:t>
            </w:r>
          </w:p>
        </w:tc>
        <w:tc>
          <w:tcPr>
            <w:tcW w:type="dxa" w:w="1234"/>
          </w:tcPr>
          <w:p>
            <w:r>
              <w:rPr>
                <w:rFonts w:ascii="Calibri" w:hAnsi="Calibri"/>
                <w:sz w:val="22"/>
              </w:rPr>
              <w:t>$210.6M</w:t>
            </w:r>
          </w:p>
        </w:tc>
        <w:tc>
          <w:tcPr>
            <w:tcW w:type="dxa" w:w="1234"/>
          </w:tcPr>
          <w:p>
            <w:r>
              <w:rPr>
                <w:rFonts w:ascii="Calibri" w:hAnsi="Calibri"/>
                <w:b/>
                <w:color w:val="30A46C"/>
                <w:sz w:val="22"/>
              </w:rPr>
              <w:t>+29.4%</w:t>
            </w:r>
          </w:p>
        </w:tc>
        <w:tc>
          <w:tcPr>
            <w:tcW w:type="dxa" w:w="1234"/>
          </w:tcPr>
          <w:p>
            <w:r>
              <w:rPr>
                <w:rFonts w:ascii="Calibri" w:hAnsi="Calibri"/>
                <w:sz w:val="22"/>
              </w:rPr>
              <w:t>No formal guidance; EBITDA margin compressed in Q1 on higher opex</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$154.7M</w:t>
            </w:r>
          </w:p>
        </w:tc>
        <w:tc>
          <w:tcPr>
            <w:tcW w:type="dxa" w:w="1234"/>
          </w:tcPr>
          <w:p>
            <w:r>
              <w:rPr>
                <w:rFonts w:ascii="Calibri" w:hAnsi="Calibri"/>
                <w:sz w:val="22"/>
              </w:rPr>
              <w:t>$117.6M</w:t>
            </w:r>
          </w:p>
        </w:tc>
        <w:tc>
          <w:tcPr>
            <w:tcW w:type="dxa" w:w="1234"/>
          </w:tcPr>
          <w:p>
            <w:r>
              <w:rPr>
                <w:rFonts w:ascii="Calibri" w:hAnsi="Calibri"/>
                <w:sz w:val="22"/>
              </w:rPr>
              <w:t>$153.5M</w:t>
            </w:r>
          </w:p>
        </w:tc>
        <w:tc>
          <w:tcPr>
            <w:tcW w:type="dxa" w:w="1234"/>
          </w:tcPr>
          <w:p>
            <w:r>
              <w:rPr>
                <w:rFonts w:ascii="Calibri" w:hAnsi="Calibri"/>
                <w:b/>
                <w:color w:val="30A46C"/>
                <w:sz w:val="22"/>
              </w:rPr>
              <w:t>+30.5%</w:t>
            </w:r>
          </w:p>
        </w:tc>
        <w:tc>
          <w:tcPr>
            <w:tcW w:type="dxa" w:w="1234"/>
          </w:tcPr>
          <w:p>
            <w:r>
              <w:rPr>
                <w:rFonts w:ascii="Calibri" w:hAnsi="Calibri"/>
                <w:sz w:val="22"/>
              </w:rPr>
              <w:t>No formal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TPL does not provide formal quarterly financial guidance; all consensus figures are analyst estimates. Note: Q2 2026 consensus revenue of $249.6M includes potential one-time land sale revenue from the Chevron Project Kilby agreement (announced June 23, 2026); this item may be excluded from adjusted EBITDA, creating noise in reported vs. adjusted comparisons.</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EPS —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$1.68</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$1.54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$1.71</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$1.75</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$1.68</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2025</w:t>
            </w:r>
          </w:p>
        </w:tc>
        <w:tc>
          <w:tcPr>
            <w:tcW w:type="dxa" w:w="1728"/>
          </w:tcPr>
          <w:p>
            <w:r>
              <w:rPr>
                <w:rFonts w:ascii="Calibri" w:hAnsi="Calibri"/>
                <w:sz w:val="22"/>
              </w:rPr>
              <w:t>$1.76</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2025</w:t>
            </w:r>
          </w:p>
        </w:tc>
        <w:tc>
          <w:tcPr>
            <w:tcW w:type="dxa" w:w="1728"/>
          </w:tcPr>
          <w:p>
            <w:r>
              <w:rPr>
                <w:rFonts w:ascii="Calibri" w:hAnsi="Calibri"/>
                <w:sz w:val="22"/>
              </w:rPr>
              <w:t>$1.79</w:t>
            </w:r>
          </w:p>
        </w:tc>
        <w:tc>
          <w:tcPr>
            <w:tcW w:type="dxa" w:w="1728"/>
          </w:tcPr>
          <w:p>
            <w:r>
              <w:rPr>
                <w:rFonts w:ascii="Calibri" w:hAnsi="Calibri"/>
                <w:sz w:val="22"/>
              </w:rPr>
              <w:t>$1.73</w:t>
            </w:r>
          </w:p>
        </w:tc>
        <w:tc>
          <w:tcPr>
            <w:tcW w:type="dxa" w:w="1728"/>
          </w:tcPr>
          <w:p>
            <w:r>
              <w:rPr>
                <w:rFonts w:ascii="Calibri" w:hAnsi="Calibri"/>
                <w:b/>
                <w:color w:val="30A46C"/>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$2.07</w:t>
            </w:r>
          </w:p>
        </w:tc>
        <w:tc>
          <w:tcPr>
            <w:tcW w:type="dxa" w:w="1728"/>
          </w:tcPr>
          <w:p>
            <w:r>
              <w:rPr>
                <w:rFonts w:ascii="Calibri" w:hAnsi="Calibri"/>
                <w:sz w:val="22"/>
              </w:rPr>
              <w:t>$2.02</w:t>
            </w:r>
          </w:p>
        </w:tc>
        <w:tc>
          <w:tcPr>
            <w:tcW w:type="dxa" w:w="1728"/>
          </w:tcPr>
          <w:p>
            <w:r>
              <w:rPr>
                <w:rFonts w:ascii="Calibri" w:hAnsi="Calibri"/>
                <w:b/>
                <w:color w:val="30A46C"/>
                <w:sz w:val="22"/>
              </w:rPr>
              <w:t>+2.5%</w:t>
            </w:r>
          </w:p>
        </w:tc>
        <w:tc>
          <w:tcPr>
            <w:tcW w:type="dxa" w:w="1728"/>
          </w:tcPr>
          <w:p>
            <w:r>
              <w:rPr>
                <w:rFonts w:ascii="Calibri" w:hAnsi="Calibri"/>
                <w:b/>
                <w:color w:val="30A46C"/>
                <w:sz w:val="22"/>
              </w:rPr>
              <w:t>Beat</w:t>
            </w:r>
          </w:p>
        </w:tc>
      </w:tr>
    </w:tbl>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TPL provides no formal quarterly financial guidance; the baseline is management’s qualitative commentary from the Q1 2026 earnings call (May 7, 2026). The only post-earnings update with operational significance is the Chevron Project Kilby agreement (June 23, 2026), which introduced a new long-duration water supply contract and one-time land sale revenue into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 Tone (Q1 2026 Earnings Call, May 7, 2026)</w:t>
            </w:r>
          </w:p>
        </w:tc>
        <w:tc>
          <w:tcPr>
            <w:tcW w:type="dxa" w:w="1728"/>
            <w:shd w:val="clear" w:color="auto" w:fill="3B4259"/>
          </w:tcPr>
          <w:p>
            <w:r>
              <w:rPr>
                <w:rFonts w:ascii="Calibri" w:hAnsi="Calibri"/>
                <w:b/>
                <w:color w:val="FFFFFF"/>
                <w:sz w:val="22"/>
              </w:rPr>
              <w:t>Revised Guidance / Post-Earnings Update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Royalty Production (BOE/d)</w:t>
            </w:r>
          </w:p>
        </w:tc>
        <w:tc>
          <w:tcPr>
            <w:tcW w:type="dxa" w:w="1728"/>
          </w:tcPr>
          <w:p>
            <w:r>
              <w:rPr>
                <w:rFonts w:ascii="Calibri" w:hAnsi="Calibri"/>
                <w:sz w:val="22"/>
              </w:rPr>
              <w:t>No formal guidance. Mgmt noted 20.7 net line-of-sight wells (+11% seq. normalized); "strong permitting and drilling activity" across Delaware and Midland positions; industry ramp expected "over coming quarters" if oil prices remain elevated.</w:t>
            </w:r>
          </w:p>
        </w:tc>
        <w:tc>
          <w:tcPr>
            <w:tcW w:type="dxa" w:w="1728"/>
          </w:tcPr>
          <w:p>
            <w:r>
              <w:rPr>
                <w:rFonts w:ascii="Calibri" w:hAnsi="Calibri"/>
                <w:sz w:val="22"/>
              </w:rPr>
              <w:t>No revision</w:t>
            </w:r>
          </w:p>
        </w:tc>
        <w:tc>
          <w:tcPr>
            <w:tcW w:type="dxa" w:w="1728"/>
          </w:tcPr>
          <w:p>
            <w:r>
              <w:rPr>
                <w:rFonts w:ascii="Calibri" w:hAnsi="Calibri"/>
                <w:sz w:val="22"/>
              </w:rPr>
              <w:t>38,530 BOE/d</w:t>
            </w:r>
          </w:p>
        </w:tc>
        <w:tc>
          <w:tcPr>
            <w:tcW w:type="dxa" w:w="1728"/>
          </w:tcPr>
          <w:p>
            <w:r>
              <w:rPr>
                <w:rFonts w:ascii="Calibri" w:hAnsi="Calibri"/>
                <w:sz w:val="22"/>
              </w:rPr>
              <w:t>Unchanged since Q1 call; line-of-sight inventory growth is a positive leading indicator but production has missed consensus two quarters running.</w:t>
            </w:r>
          </w:p>
        </w:tc>
      </w:tr>
      <w:tr>
        <w:tc>
          <w:tcPr>
            <w:tcW w:type="dxa" w:w="1728"/>
          </w:tcPr>
          <w:p>
            <w:r>
              <w:rPr>
                <w:rFonts w:ascii="Calibri" w:hAnsi="Calibri"/>
                <w:sz w:val="22"/>
              </w:rPr>
              <w:t>Water Sales Revenue</w:t>
            </w:r>
          </w:p>
        </w:tc>
        <w:tc>
          <w:tcPr>
            <w:tcW w:type="dxa" w:w="1728"/>
          </w:tcPr>
          <w:p>
            <w:r>
              <w:rPr>
                <w:rFonts w:ascii="Calibri" w:hAnsi="Calibri"/>
                <w:sz w:val="22"/>
              </w:rPr>
              <w:t>No formal guidance. Phase 2b desalination (10,000 bbl/d) "nearly complete"; expected to begin flowing inlet water in "coming weeks" (late May/early June 2026). Mgmt flagged SLEM revenue as "lumpy" — advised against reading too much into any single quarter.</w:t>
            </w:r>
          </w:p>
        </w:tc>
        <w:tc>
          <w:tcPr>
            <w:tcW w:type="dxa" w:w="1728"/>
          </w:tcPr>
          <w:p>
            <w:r>
              <w:rPr>
                <w:rFonts w:ascii="Calibri" w:hAnsi="Calibri"/>
                <w:sz w:val="22"/>
              </w:rPr>
              <w:t>↑ Chevron Project Kilby agreement (June 23, 2026): TPL granted exclusive right to source aquifer-derived water for Chevron’s large-scale power generation/data center facility in Reeves County, TX. Adds long-duration water supply contract to Q2 and beyond.</w:t>
            </w:r>
          </w:p>
        </w:tc>
        <w:tc>
          <w:tcPr>
            <w:tcW w:type="dxa" w:w="1728"/>
          </w:tcPr>
          <w:p>
            <w:r>
              <w:rPr>
                <w:rFonts w:ascii="Calibri" w:hAnsi="Calibri"/>
                <w:sz w:val="22"/>
              </w:rPr>
              <w:t>$51.5M</w:t>
            </w:r>
          </w:p>
        </w:tc>
        <w:tc>
          <w:tcPr>
            <w:tcW w:type="dxa" w:w="1728"/>
          </w:tcPr>
          <w:p>
            <w:r>
              <w:rPr>
                <w:rFonts w:ascii="Calibri" w:hAnsi="Calibri"/>
                <w:sz w:val="22"/>
              </w:rPr>
              <w:t>↑ New at June 23, 2026 8-K; Chevron deal adds incremental water revenue and a one-time land sale cash consideration in Q2 2026; long-term water supply contract extends over project life.</w:t>
            </w:r>
          </w:p>
        </w:tc>
      </w:tr>
      <w:tr>
        <w:tc>
          <w:tcPr>
            <w:tcW w:type="dxa" w:w="1728"/>
          </w:tcPr>
          <w:p>
            <w:r>
              <w:rPr>
                <w:rFonts w:ascii="Calibri" w:hAnsi="Calibri"/>
                <w:sz w:val="22"/>
              </w:rPr>
              <w:t>Produced Water Royalties</w:t>
            </w:r>
          </w:p>
        </w:tc>
        <w:tc>
          <w:tcPr>
            <w:tcW w:type="dxa" w:w="1728"/>
          </w:tcPr>
          <w:p>
            <w:r>
              <w:rPr>
                <w:rFonts w:ascii="Calibri" w:hAnsi="Calibri"/>
                <w:sz w:val="22"/>
              </w:rPr>
              <w:t>No formal guidance. Mgmt "very bullish on the produced water space"; advised 3-quarter trend view due to accrual noise. Q1 2026 volumes were "second best in history."</w:t>
            </w:r>
          </w:p>
        </w:tc>
        <w:tc>
          <w:tcPr>
            <w:tcW w:type="dxa" w:w="1728"/>
          </w:tcPr>
          <w:p>
            <w:r>
              <w:rPr>
                <w:rFonts w:ascii="Calibri" w:hAnsi="Calibri"/>
                <w:sz w:val="22"/>
              </w:rPr>
              <w:t>No revision</w:t>
            </w:r>
          </w:p>
        </w:tc>
        <w:tc>
          <w:tcPr>
            <w:tcW w:type="dxa" w:w="1728"/>
          </w:tcPr>
          <w:p>
            <w:r>
              <w:rPr>
                <w:rFonts w:ascii="Calibri" w:hAnsi="Calibri"/>
                <w:sz w:val="22"/>
              </w:rPr>
              <w:t>$35.8M</w:t>
            </w:r>
          </w:p>
        </w:tc>
        <w:tc>
          <w:tcPr>
            <w:tcW w:type="dxa" w:w="1728"/>
          </w:tcPr>
          <w:p>
            <w:r>
              <w:rPr>
                <w:rFonts w:ascii="Calibri" w:hAnsi="Calibri"/>
                <w:sz w:val="22"/>
              </w:rPr>
              <w:t>Unchanged; bullish tone intact; TRC moratorium on new SWD permits in Permian is a potential constraint for operators but a structural positive for TPL’s disposal solutions.</w:t>
            </w:r>
          </w:p>
        </w:tc>
      </w:tr>
      <w:tr>
        <w:tc>
          <w:tcPr>
            <w:tcW w:type="dxa" w:w="1728"/>
          </w:tcPr>
          <w:p>
            <w:r>
              <w:rPr>
                <w:rFonts w:ascii="Calibri" w:hAnsi="Calibri"/>
                <w:sz w:val="22"/>
              </w:rPr>
              <w:t>Commodity Price / Hedging</w:t>
            </w:r>
          </w:p>
        </w:tc>
        <w:tc>
          <w:tcPr>
            <w:tcW w:type="dxa" w:w="1728"/>
          </w:tcPr>
          <w:p>
            <w:r>
              <w:rPr>
                <w:rFonts w:ascii="Calibri" w:hAnsi="Calibri"/>
                <w:sz w:val="22"/>
              </w:rPr>
              <w:t>Fully unhedged. "Today, with our unhedged commodity position, we are fully capturing the direct upside from elevated oil prices." Strong balance sheet is the hedge against low prices.</w:t>
            </w:r>
          </w:p>
        </w:tc>
        <w:tc>
          <w:tcPr>
            <w:tcW w:type="dxa" w:w="1728"/>
          </w:tcPr>
          <w:p>
            <w:r>
              <w:rPr>
                <w:rFonts w:ascii="Calibri" w:hAnsi="Calibri"/>
                <w:sz w:val="22"/>
              </w:rPr>
              <w:t>No revision</w:t>
            </w:r>
          </w:p>
        </w:tc>
        <w:tc>
          <w:tcPr>
            <w:tcW w:type="dxa" w:w="1728"/>
          </w:tcPr>
          <w:p>
            <w:r>
              <w:rPr>
                <w:rFonts w:ascii="Calibri" w:hAnsi="Calibri"/>
                <w:sz w:val="22"/>
              </w:rPr>
              <w:t>N/A</w:t>
            </w:r>
          </w:p>
        </w:tc>
        <w:tc>
          <w:tcPr>
            <w:tcW w:type="dxa" w:w="1728"/>
          </w:tcPr>
          <w:p>
            <w:r>
              <w:rPr>
                <w:rFonts w:ascii="Calibri" w:hAnsi="Calibri"/>
                <w:sz w:val="22"/>
              </w:rPr>
              <w:t>Unchanged; Permian realized oil prices ~$97/bbl in Q2 (per FANG Q2 2026 results) — a direct tailwind for TPL’s unhedged royalty stream.</w:t>
            </w:r>
          </w:p>
        </w:tc>
      </w:tr>
      <w:tr>
        <w:tc>
          <w:tcPr>
            <w:tcW w:type="dxa" w:w="1728"/>
          </w:tcPr>
          <w:p>
            <w:r>
              <w:rPr>
                <w:rFonts w:ascii="Calibri" w:hAnsi="Calibri"/>
                <w:sz w:val="22"/>
              </w:rPr>
              <w:t>Data Center / Power Generation (Next-Gen Endeavors)</w:t>
            </w:r>
          </w:p>
        </w:tc>
        <w:tc>
          <w:tcPr>
            <w:tcW w:type="dxa" w:w="1728"/>
          </w:tcPr>
          <w:p>
            <w:r>
              <w:rPr>
                <w:rFonts w:ascii="Calibri" w:hAnsi="Calibri"/>
                <w:sz w:val="22"/>
              </w:rPr>
              <w:t>First agreement signed in Q1 2026 (land sale + water supply for power/data center). Mgmt: "Texas will become a dominant global hub for large-scale power and compute." Additional details expected "in coming months."</w:t>
            </w:r>
          </w:p>
        </w:tc>
        <w:tc>
          <w:tcPr>
            <w:tcW w:type="dxa" w:w="1728"/>
          </w:tcPr>
          <w:p>
            <w:r>
              <w:rPr>
                <w:rFonts w:ascii="Calibri" w:hAnsi="Calibri"/>
                <w:sz w:val="22"/>
              </w:rPr>
              <w:t>↑ Chevron Project Kilby (June 23, 2026): Second concrete deal — TPL contributed surface acreage for cash consideration + exclusive water sourcing rights for Chevron’s GW-scale power/data center in Reeves County.</w:t>
            </w:r>
          </w:p>
        </w:tc>
        <w:tc>
          <w:tcPr>
            <w:tcW w:type="dxa" w:w="1728"/>
          </w:tcPr>
          <w:p>
            <w:r>
              <w:rPr>
                <w:rFonts w:ascii="Calibri" w:hAnsi="Calibri"/>
                <w:sz w:val="22"/>
              </w:rPr>
              <w:t>N/A</w:t>
            </w:r>
          </w:p>
        </w:tc>
        <w:tc>
          <w:tcPr>
            <w:tcW w:type="dxa" w:w="1728"/>
          </w:tcPr>
          <w:p>
            <w:r>
              <w:rPr>
                <w:rFonts w:ascii="Calibri" w:hAnsi="Calibri"/>
                <w:sz w:val="22"/>
              </w:rPr>
              <w:t>↑ New at June 23, 2026 8-K; validates the next-gen strategy with a second blue-chip counterparty; CEO Ty Glover: "West Texas [is] a premier location for compute infrastructure."</w:t>
            </w:r>
          </w:p>
        </w:tc>
      </w:tr>
      <w:tr>
        <w:tc>
          <w:tcPr>
            <w:tcW w:type="dxa" w:w="1728"/>
          </w:tcPr>
          <w:p>
            <w:r>
              <w:rPr>
                <w:rFonts w:ascii="Calibri" w:hAnsi="Calibri"/>
                <w:sz w:val="22"/>
              </w:rPr>
              <w:t>EBITDA Margin</w:t>
            </w:r>
          </w:p>
        </w:tc>
        <w:tc>
          <w:tcPr>
            <w:tcW w:type="dxa" w:w="1728"/>
          </w:tcPr>
          <w:p>
            <w:r>
              <w:rPr>
                <w:rFonts w:ascii="Calibri" w:hAnsi="Calibri"/>
                <w:sz w:val="22"/>
              </w:rPr>
              <w:t>No formal guidance. Q1 2026 EBITDA margin compressed vs. prior year on higher operating expenses; mgmt did not provide specific margin targets.</w:t>
            </w:r>
          </w:p>
        </w:tc>
        <w:tc>
          <w:tcPr>
            <w:tcW w:type="dxa" w:w="1728"/>
          </w:tcPr>
          <w:p>
            <w:r>
              <w:rPr>
                <w:rFonts w:ascii="Calibri" w:hAnsi="Calibri"/>
                <w:sz w:val="22"/>
              </w:rPr>
              <w:t>No revision</w:t>
            </w:r>
          </w:p>
        </w:tc>
        <w:tc>
          <w:tcPr>
            <w:tcW w:type="dxa" w:w="1728"/>
          </w:tcPr>
          <w:p>
            <w:r>
              <w:rPr>
                <w:rFonts w:ascii="Calibri" w:hAnsi="Calibri"/>
                <w:sz w:val="22"/>
              </w:rPr>
              <w:t>~84% implied (EBITDA $210.6M / Revenue $249.6M)</w:t>
            </w:r>
          </w:p>
        </w:tc>
        <w:tc>
          <w:tcPr>
            <w:tcW w:type="dxa" w:w="1728"/>
          </w:tcPr>
          <w:p>
            <w:r>
              <w:rPr>
                <w:rFonts w:ascii="Calibri" w:hAnsi="Calibri"/>
                <w:sz w:val="22"/>
              </w:rPr>
              <w:t>Margin recovery is a key watch item; Q1 2026 margin compressed meaningfully vs. prior year; any normalization would be a positive surprise.</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revised down since the Q1 2026 print — Q2 EPS consensus fell from $2.42 to $2.19 (-9.5%) and FY 2026 EPS from $9.46 to $8.66 (-8.5%) — creating a lower bar that should be achievable given the commodity tailwind; the gap between current consensus and the post-Q1 baseline represents cushion, not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May 13, 2026 (5 days post-Q1 print)</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EPS — Diluted (Q2 2026)</w:t>
            </w:r>
          </w:p>
        </w:tc>
        <w:tc>
          <w:tcPr>
            <w:tcW w:type="dxa" w:w="1080"/>
          </w:tcPr>
          <w:p>
            <w:r>
              <w:rPr>
                <w:rFonts w:ascii="Calibri" w:hAnsi="Calibri"/>
                <w:sz w:val="22"/>
              </w:rPr>
              <w:t>$2.42</w:t>
            </w:r>
          </w:p>
        </w:tc>
        <w:tc>
          <w:tcPr>
            <w:tcW w:type="dxa" w:w="1080"/>
          </w:tcPr>
          <w:p>
            <w:r>
              <w:rPr>
                <w:rFonts w:ascii="Calibri" w:hAnsi="Calibri"/>
                <w:sz w:val="22"/>
              </w:rPr>
              <w:t>$2.19</w:t>
            </w:r>
          </w:p>
        </w:tc>
        <w:tc>
          <w:tcPr>
            <w:tcW w:type="dxa" w:w="1080"/>
          </w:tcPr>
          <w:p>
            <w:r>
              <w:rPr>
                <w:rFonts w:ascii="Calibri" w:hAnsi="Calibri"/>
                <w:b/>
                <w:color w:val="E5484D"/>
                <w:sz w:val="22"/>
              </w:rPr>
              <w:t>−9.5%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(FY 2026)</w:t>
            </w:r>
          </w:p>
        </w:tc>
        <w:tc>
          <w:tcPr>
            <w:tcW w:type="dxa" w:w="1080"/>
          </w:tcPr>
          <w:p>
            <w:r>
              <w:rPr>
                <w:rFonts w:ascii="Calibri" w:hAnsi="Calibri"/>
                <w:sz w:val="22"/>
              </w:rPr>
              <w:t>$9.46</w:t>
            </w:r>
          </w:p>
        </w:tc>
        <w:tc>
          <w:tcPr>
            <w:tcW w:type="dxa" w:w="1080"/>
          </w:tcPr>
          <w:p>
            <w:r>
              <w:rPr>
                <w:rFonts w:ascii="Calibri" w:hAnsi="Calibri"/>
                <w:sz w:val="22"/>
              </w:rPr>
              <w:t>$8.66</w:t>
            </w:r>
          </w:p>
        </w:tc>
        <w:tc>
          <w:tcPr>
            <w:tcW w:type="dxa" w:w="1080"/>
          </w:tcPr>
          <w:p>
            <w:r>
              <w:rPr>
                <w:rFonts w:ascii="Calibri" w:hAnsi="Calibri"/>
                <w:b/>
                <w:color w:val="E5484D"/>
                <w:sz w:val="22"/>
              </w:rPr>
              <w:t>−8.5%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(Q2 2026)</w:t>
            </w:r>
          </w:p>
        </w:tc>
        <w:tc>
          <w:tcPr>
            <w:tcW w:type="dxa" w:w="1080"/>
          </w:tcPr>
          <w:p>
            <w:r>
              <w:rPr>
                <w:rFonts w:ascii="Calibri" w:hAnsi="Calibri"/>
                <w:sz w:val="22"/>
              </w:rPr>
              <w:t>$272.1M</w:t>
            </w:r>
          </w:p>
        </w:tc>
        <w:tc>
          <w:tcPr>
            <w:tcW w:type="dxa" w:w="1080"/>
          </w:tcPr>
          <w:p>
            <w:r>
              <w:rPr>
                <w:rFonts w:ascii="Calibri" w:hAnsi="Calibri"/>
                <w:sz w:val="22"/>
              </w:rPr>
              <w:t>$249.6M</w:t>
            </w:r>
          </w:p>
        </w:tc>
        <w:tc>
          <w:tcPr>
            <w:tcW w:type="dxa" w:w="1080"/>
          </w:tcPr>
          <w:p>
            <w:r>
              <w:rPr>
                <w:rFonts w:ascii="Calibri" w:hAnsi="Calibri"/>
                <w:b/>
                <w:color w:val="E5484D"/>
                <w:sz w:val="22"/>
              </w:rPr>
              <w:t>−8.3%</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$1,060.2M</w:t>
            </w:r>
          </w:p>
        </w:tc>
        <w:tc>
          <w:tcPr>
            <w:tcW w:type="dxa" w:w="1080"/>
          </w:tcPr>
          <w:p>
            <w:r>
              <w:rPr>
                <w:rFonts w:ascii="Calibri" w:hAnsi="Calibri"/>
                <w:sz w:val="22"/>
              </w:rPr>
              <w:t>$988.7M</w:t>
            </w:r>
          </w:p>
        </w:tc>
        <w:tc>
          <w:tcPr>
            <w:tcW w:type="dxa" w:w="1080"/>
          </w:tcPr>
          <w:p>
            <w:r>
              <w:rPr>
                <w:rFonts w:ascii="Calibri" w:hAnsi="Calibri"/>
                <w:b/>
                <w:color w:val="E5484D"/>
                <w:sz w:val="22"/>
              </w:rPr>
              <w:t>−6.7%</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(Q2 2026)</w:t>
            </w:r>
          </w:p>
        </w:tc>
        <w:tc>
          <w:tcPr>
            <w:tcW w:type="dxa" w:w="1080"/>
          </w:tcPr>
          <w:p>
            <w:r>
              <w:rPr>
                <w:rFonts w:ascii="Calibri" w:hAnsi="Calibri"/>
                <w:sz w:val="22"/>
              </w:rPr>
              <w:t>$232.7M</w:t>
            </w:r>
          </w:p>
        </w:tc>
        <w:tc>
          <w:tcPr>
            <w:tcW w:type="dxa" w:w="1080"/>
          </w:tcPr>
          <w:p>
            <w:r>
              <w:rPr>
                <w:rFonts w:ascii="Calibri" w:hAnsi="Calibri"/>
                <w:sz w:val="22"/>
              </w:rPr>
              <w:t>$210.6M</w:t>
            </w:r>
          </w:p>
        </w:tc>
        <w:tc>
          <w:tcPr>
            <w:tcW w:type="dxa" w:w="1080"/>
          </w:tcPr>
          <w:p>
            <w:r>
              <w:rPr>
                <w:rFonts w:ascii="Calibri" w:hAnsi="Calibri"/>
                <w:b/>
                <w:color w:val="E5484D"/>
                <w:sz w:val="22"/>
              </w:rPr>
              <w:t>−9.5%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(FY 2026)</w:t>
            </w:r>
          </w:p>
        </w:tc>
        <w:tc>
          <w:tcPr>
            <w:tcW w:type="dxa" w:w="1080"/>
          </w:tcPr>
          <w:p>
            <w:r>
              <w:rPr>
                <w:rFonts w:ascii="Calibri" w:hAnsi="Calibri"/>
                <w:sz w:val="22"/>
              </w:rPr>
              <w:t>$906.0M</w:t>
            </w:r>
          </w:p>
        </w:tc>
        <w:tc>
          <w:tcPr>
            <w:tcW w:type="dxa" w:w="1080"/>
          </w:tcPr>
          <w:p>
            <w:r>
              <w:rPr>
                <w:rFonts w:ascii="Calibri" w:hAnsi="Calibri"/>
                <w:sz w:val="22"/>
              </w:rPr>
              <w:t>$833.3M</w:t>
            </w:r>
          </w:p>
        </w:tc>
        <w:tc>
          <w:tcPr>
            <w:tcW w:type="dxa" w:w="1080"/>
          </w:tcPr>
          <w:p>
            <w:r>
              <w:rPr>
                <w:rFonts w:ascii="Calibri" w:hAnsi="Calibri"/>
                <w:b/>
                <w:color w:val="E5484D"/>
                <w:sz w:val="22"/>
              </w:rPr>
              <w:t>−8.0%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Royalty Production (Q2 2026, BOE/d)</w:t>
            </w:r>
          </w:p>
        </w:tc>
        <w:tc>
          <w:tcPr>
            <w:tcW w:type="dxa" w:w="1080"/>
          </w:tcPr>
          <w:p>
            <w:r>
              <w:rPr>
                <w:rFonts w:ascii="Calibri" w:hAnsi="Calibri"/>
                <w:sz w:val="22"/>
              </w:rPr>
              <w:t>39,536</w:t>
            </w:r>
          </w:p>
        </w:tc>
        <w:tc>
          <w:tcPr>
            <w:tcW w:type="dxa" w:w="1080"/>
          </w:tcPr>
          <w:p>
            <w:r>
              <w:rPr>
                <w:rFonts w:ascii="Calibri" w:hAnsi="Calibri"/>
                <w:sz w:val="22"/>
              </w:rPr>
              <w:t>38,530</w:t>
            </w:r>
          </w:p>
        </w:tc>
        <w:tc>
          <w:tcPr>
            <w:tcW w:type="dxa" w:w="1080"/>
          </w:tcPr>
          <w:p>
            <w:r>
              <w:rPr>
                <w:rFonts w:ascii="Calibri" w:hAnsi="Calibri"/>
                <w:b/>
                <w:color w:val="E5484D"/>
                <w:sz w:val="22"/>
              </w:rPr>
              <w:t>−2.5%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Water Sales Revenue (Q2 2026)</w:t>
            </w:r>
          </w:p>
        </w:tc>
        <w:tc>
          <w:tcPr>
            <w:tcW w:type="dxa" w:w="1080"/>
          </w:tcPr>
          <w:p>
            <w:r>
              <w:rPr>
                <w:rFonts w:ascii="Calibri" w:hAnsi="Calibri"/>
                <w:sz w:val="22"/>
              </w:rPr>
              <w:t>$51.1M</w:t>
            </w:r>
          </w:p>
        </w:tc>
        <w:tc>
          <w:tcPr>
            <w:tcW w:type="dxa" w:w="1080"/>
          </w:tcPr>
          <w:p>
            <w:r>
              <w:rPr>
                <w:rFonts w:ascii="Calibri" w:hAnsi="Calibri"/>
                <w:sz w:val="22"/>
              </w:rPr>
              <w:t>$51.5M</w:t>
            </w:r>
          </w:p>
        </w:tc>
        <w:tc>
          <w:tcPr>
            <w:tcW w:type="dxa" w:w="1080"/>
          </w:tcPr>
          <w:p>
            <w:r>
              <w:rPr>
                <w:rFonts w:ascii="Calibri" w:hAnsi="Calibri"/>
                <w:b/>
                <w:color w:val="30A46C"/>
                <w:sz w:val="22"/>
              </w:rPr>
              <w:t>+0.9%</w:t>
            </w:r>
          </w:p>
        </w:tc>
        <w:tc>
          <w:tcPr>
            <w:tcW w:type="dxa" w:w="1080"/>
          </w:tcPr>
          <w:p>
            <w:r>
              <w:rPr>
                <w:rFonts w:ascii="Calibri" w:hAnsi="Calibri"/>
                <w:sz w:val="22"/>
              </w:rPr>
              <w:t>No formal guidance; Phase 2b desalination online May 2026; Chevron water supply deal signed June 23</w:t>
            </w:r>
          </w:p>
        </w:tc>
        <w:tc>
          <w:tcPr>
            <w:tcW w:type="dxa" w:w="1080"/>
          </w:tcPr>
          <w:p>
            <w:r>
              <w:rPr>
                <w:rFonts w:ascii="Calibri" w:hAnsi="Calibri"/>
                <w:sz w:val="22"/>
              </w:rPr>
              <w:t>Chevron Project Kilby water supply contract (June 23, 2026)</w:t>
            </w:r>
          </w:p>
        </w:tc>
        <w:tc>
          <w:tcPr>
            <w:tcW w:type="dxa" w:w="1080"/>
          </w:tcPr>
          <w:p>
            <w:r>
              <w:rPr>
                <w:rFonts w:ascii="Calibri" w:hAnsi="Calibri"/>
                <w:sz w:val="22"/>
              </w:rPr>
              <w:t>↑ New contract</w:t>
            </w:r>
          </w:p>
        </w:tc>
        <w:tc>
          <w:tcPr>
            <w:tcW w:type="dxa" w:w="1080"/>
          </w:tcPr>
          <w:p>
            <w:r>
              <w:rPr>
                <w:rFonts w:ascii="Calibri" w:hAnsi="Calibri"/>
                <w:sz w:val="22"/>
              </w:rPr>
              <w:t>N/A</w:t>
            </w:r>
          </w:p>
        </w:tc>
      </w:tr>
      <w:tr>
        <w:tc>
          <w:tcPr>
            <w:tcW w:type="dxa" w:w="1080"/>
          </w:tcPr>
          <w:p>
            <w:r>
              <w:rPr>
                <w:rFonts w:ascii="Calibri" w:hAnsi="Calibri"/>
                <w:sz w:val="22"/>
              </w:rPr>
              <w:t>Produced Water Royalties (Q2 2026)</w:t>
            </w:r>
          </w:p>
        </w:tc>
        <w:tc>
          <w:tcPr>
            <w:tcW w:type="dxa" w:w="1080"/>
          </w:tcPr>
          <w:p>
            <w:r>
              <w:rPr>
                <w:rFonts w:ascii="Calibri" w:hAnsi="Calibri"/>
                <w:sz w:val="22"/>
              </w:rPr>
              <w:t>$37.5M</w:t>
            </w:r>
          </w:p>
        </w:tc>
        <w:tc>
          <w:tcPr>
            <w:tcW w:type="dxa" w:w="1080"/>
          </w:tcPr>
          <w:p>
            <w:r>
              <w:rPr>
                <w:rFonts w:ascii="Calibri" w:hAnsi="Calibri"/>
                <w:sz w:val="22"/>
              </w:rPr>
              <w:t>$35.8M</w:t>
            </w:r>
          </w:p>
        </w:tc>
        <w:tc>
          <w:tcPr>
            <w:tcW w:type="dxa" w:w="1080"/>
          </w:tcPr>
          <w:p>
            <w:r>
              <w:rPr>
                <w:rFonts w:ascii="Calibri" w:hAnsi="Calibri"/>
                <w:b/>
                <w:color w:val="E5484D"/>
                <w:sz w:val="22"/>
              </w:rPr>
              <w:t>−4.6%</w:t>
            </w:r>
          </w:p>
        </w:tc>
        <w:tc>
          <w:tcPr>
            <w:tcW w:type="dxa" w:w="1080"/>
          </w:tcPr>
          <w:p>
            <w:r>
              <w:rPr>
                <w:rFonts w:ascii="Calibri" w:hAnsi="Calibri"/>
                <w:sz w:val="22"/>
              </w:rPr>
              <w:t>No formal guidance; mgmt bullish; 3-quarter trend view advised</w:t>
            </w:r>
          </w:p>
        </w:tc>
        <w:tc>
          <w:tcPr>
            <w:tcW w:type="dxa" w:w="1080"/>
          </w:tcPr>
          <w:p>
            <w:r>
              <w:rPr>
                <w:rFonts w:ascii="Calibri" w:hAnsi="Calibri"/>
                <w:sz w:val="22"/>
              </w:rPr>
              <w:t>No revision</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Baseline date of May 13, 2026 represents 5 trading days after the Q1 2026 earnings release (May 6, 2026). TPL does not provide formal financial guidance; guidance column reflects qualitative management commentary from the Q1 2026 earnings call. All estimate revisions are downward since the Q1 print, consistent with the broader energy sector re-rating on macro uncertainty, but the magnitude of cuts (~8–10%) creates a lower bar heading into Q2.</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TPL has underperformed both XOP and the S&amp;P 500 since Q1 2026 earnings (May 6, 2026), declining ~5.8% vs. XOP +1.5% and SPY +5.1%, suggesting the market has not yet priced in the commodity tailwind from elevated Permian oil prices or the Chevron Project Kilby deal — the underperformance is multiple-driven (slight compression) rather than earnings-driven, leaving room for a re-rating on a clean Q2 beat.</w:t>
      </w:r>
    </w:p>
    <w:p>
      <w:r>
        <w:rPr>
          <w:rFonts w:ascii="Calibri" w:hAnsi="Calibri"/>
          <w:b/>
          <w:color w:val="525866"/>
          <w:sz w:val="22"/>
        </w:rPr>
        <w:t>Chart: TPL vs. XOP vs. S&amp;P 500 — Since Q1 2026 Earnings (May 6, 2026 to August 5, 2026)</w:t>
      </w:r>
    </w:p>
    <w:p>
      <w:r>
        <w:rPr>
          <w:rFonts w:ascii="Calibri" w:hAnsi="Calibri"/>
          <w:i/>
          <w:color w:val="525866"/>
          <w:sz w:val="22"/>
        </w:rPr>
        <w:t>Indexed to 100 at May 6, 2026 close. TPL: $419.75 → $395.52 (−5.8%). XOP: $169.33 → $171.95 (+1.5%). SPY: $733.83 → $771.33 (+5.1%). Sector ETF used: XOP (SPDR S&amp;P Oil &amp; Gas Exploration &amp; Production ETF) — appropriate for TPL’s Permian royalty sub-sector given its exposure to E&amp;P activity levels and commodity prices.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Period</w:t>
            </w:r>
          </w:p>
        </w:tc>
        <w:tc>
          <w:tcPr>
            <w:tcW w:type="dxa" w:w="1440"/>
            <w:shd w:val="clear" w:color="auto" w:fill="3B4259"/>
          </w:tcPr>
          <w:p>
            <w:r>
              <w:rPr>
                <w:rFonts w:ascii="Calibri" w:hAnsi="Calibri"/>
                <w:b/>
                <w:color w:val="FFFFFF"/>
                <w:sz w:val="22"/>
              </w:rPr>
              <w:t>TPL Return</w:t>
            </w:r>
          </w:p>
        </w:tc>
        <w:tc>
          <w:tcPr>
            <w:tcW w:type="dxa" w:w="1440"/>
            <w:shd w:val="clear" w:color="auto" w:fill="3B4259"/>
          </w:tcPr>
          <w:p>
            <w:r>
              <w:rPr>
                <w:rFonts w:ascii="Calibri" w:hAnsi="Calibri"/>
                <w:b/>
                <w:color w:val="FFFFFF"/>
                <w:sz w:val="22"/>
              </w:rPr>
              <w:t>XOP Return</w:t>
            </w:r>
          </w:p>
        </w:tc>
        <w:tc>
          <w:tcPr>
            <w:tcW w:type="dxa" w:w="1440"/>
            <w:shd w:val="clear" w:color="auto" w:fill="3B4259"/>
          </w:tcPr>
          <w:p>
            <w:r>
              <w:rPr>
                <w:rFonts w:ascii="Calibri" w:hAnsi="Calibri"/>
                <w:b/>
                <w:color w:val="FFFFFF"/>
                <w:sz w:val="22"/>
              </w:rPr>
              <w:t>SPY Return</w:t>
            </w:r>
          </w:p>
        </w:tc>
        <w:tc>
          <w:tcPr>
            <w:tcW w:type="dxa" w:w="1440"/>
            <w:shd w:val="clear" w:color="auto" w:fill="3B4259"/>
          </w:tcPr>
          <w:p>
            <w:r>
              <w:rPr>
                <w:rFonts w:ascii="Calibri" w:hAnsi="Calibri"/>
                <w:b/>
                <w:color w:val="FFFFFF"/>
                <w:sz w:val="22"/>
              </w:rPr>
              <w:t>TPL vs. XOP</w:t>
            </w:r>
          </w:p>
        </w:tc>
        <w:tc>
          <w:tcPr>
            <w:tcW w:type="dxa" w:w="1440"/>
            <w:shd w:val="clear" w:color="auto" w:fill="3B4259"/>
          </w:tcPr>
          <w:p>
            <w:r>
              <w:rPr>
                <w:rFonts w:ascii="Calibri" w:hAnsi="Calibri"/>
                <w:b/>
                <w:color w:val="FFFFFF"/>
                <w:sz w:val="22"/>
              </w:rPr>
              <w:t>TPL vs. SPY</w:t>
            </w:r>
          </w:p>
        </w:tc>
      </w:tr>
      <w:tr>
        <w:tc>
          <w:tcPr>
            <w:tcW w:type="dxa" w:w="1440"/>
          </w:tcPr>
          <w:p>
            <w:r>
              <w:rPr>
                <w:rFonts w:ascii="Calibri" w:hAnsi="Calibri"/>
                <w:sz w:val="22"/>
              </w:rPr>
              <w:t>Since Q1 Earnings (May 6 → Aug 5, 2026)</w:t>
            </w:r>
          </w:p>
        </w:tc>
        <w:tc>
          <w:tcPr>
            <w:tcW w:type="dxa" w:w="1440"/>
          </w:tcPr>
          <w:p>
            <w:r>
              <w:rPr>
                <w:rFonts w:ascii="Calibri" w:hAnsi="Calibri"/>
                <w:b/>
                <w:color w:val="E5484D"/>
                <w:sz w:val="22"/>
              </w:rPr>
              <w:t>−5.8%</w:t>
            </w:r>
          </w:p>
        </w:tc>
        <w:tc>
          <w:tcPr>
            <w:tcW w:type="dxa" w:w="1440"/>
          </w:tcPr>
          <w:p>
            <w:r>
              <w:rPr>
                <w:rFonts w:ascii="Calibri" w:hAnsi="Calibri"/>
                <w:sz w:val="22"/>
              </w:rPr>
              <w:t>+1.5%</w:t>
            </w:r>
          </w:p>
        </w:tc>
        <w:tc>
          <w:tcPr>
            <w:tcW w:type="dxa" w:w="1440"/>
          </w:tcPr>
          <w:p>
            <w:r>
              <w:rPr>
                <w:rFonts w:ascii="Calibri" w:hAnsi="Calibri"/>
                <w:sz w:val="22"/>
              </w:rPr>
              <w:t>+5.1%</w:t>
            </w:r>
          </w:p>
        </w:tc>
        <w:tc>
          <w:tcPr>
            <w:tcW w:type="dxa" w:w="1440"/>
          </w:tcPr>
          <w:p>
            <w:r>
              <w:rPr>
                <w:rFonts w:ascii="Calibri" w:hAnsi="Calibri"/>
                <w:b/>
                <w:color w:val="E5484D"/>
                <w:sz w:val="22"/>
              </w:rPr>
              <w:t>−7.3pp</w:t>
            </w:r>
          </w:p>
        </w:tc>
        <w:tc>
          <w:tcPr>
            <w:tcW w:type="dxa" w:w="1440"/>
          </w:tcPr>
          <w:p>
            <w:r>
              <w:rPr>
                <w:rFonts w:ascii="Calibri" w:hAnsi="Calibri"/>
                <w:b/>
                <w:color w:val="E5484D"/>
                <w:sz w:val="22"/>
              </w:rPr>
              <w:t>−10.9pp</w:t>
            </w:r>
          </w:p>
        </w:tc>
      </w:tr>
      <w:tr>
        <w:tc>
          <w:tcPr>
            <w:tcW w:type="dxa" w:w="1440"/>
          </w:tcPr>
          <w:p>
            <w:r>
              <w:rPr>
                <w:rFonts w:ascii="Calibri" w:hAnsi="Calibri"/>
                <w:sz w:val="22"/>
              </w:rPr>
              <w:t>1 Month (to Aug 4, 2026)</w:t>
            </w:r>
          </w:p>
        </w:tc>
        <w:tc>
          <w:tcPr>
            <w:tcW w:type="dxa" w:w="1440"/>
          </w:tcPr>
          <w:p>
            <w:r>
              <w:rPr>
                <w:rFonts w:ascii="Calibri" w:hAnsi="Calibri"/>
                <w:sz w:val="22"/>
              </w:rPr>
              <w:t>−1.8%</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3 Month (to Aug 4, 2026)</w:t>
            </w:r>
          </w:p>
        </w:tc>
        <w:tc>
          <w:tcPr>
            <w:tcW w:type="dxa" w:w="1440"/>
          </w:tcPr>
          <w:p>
            <w:r>
              <w:rPr>
                <w:rFonts w:ascii="Calibri" w:hAnsi="Calibri"/>
                <w:sz w:val="22"/>
              </w:rPr>
              <w:t>−8.6%</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6 Month (to Aug 4, 2026)</w:t>
            </w:r>
          </w:p>
        </w:tc>
        <w:tc>
          <w:tcPr>
            <w:tcW w:type="dxa" w:w="1440"/>
          </w:tcPr>
          <w:p>
            <w:r>
              <w:rPr>
                <w:rFonts w:ascii="Calibri" w:hAnsi="Calibri"/>
                <w:sz w:val="22"/>
              </w:rPr>
              <w:t>+17.5%</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12 Month (to Aug 4, 2026)</w:t>
            </w:r>
          </w:p>
        </w:tc>
        <w:tc>
          <w:tcPr>
            <w:tcW w:type="dxa" w:w="1440"/>
          </w:tcPr>
          <w:p>
            <w:r>
              <w:rPr>
                <w:rFonts w:ascii="Calibri" w:hAnsi="Calibri"/>
                <w:sz w:val="22"/>
              </w:rPr>
              <w:t>+26.9%</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Valuation Context: </w:t>
      </w:r>
      <w:r>
        <w:rPr>
          <w:rFonts w:ascii="Calibri" w:hAnsi="Calibri"/>
          <w:color w:val="525866"/>
          <w:sz w:val="22"/>
        </w:rPr>
        <w:t>NTM EV/EBITDA of 30.9x (vs. 30.6x three months ago, +1.1%) and NTM P/E of 43.8x (vs. 43.7x three months ago, +0.2%) indicate that the 3-month underperformance is almost entirely price-driven (earnings estimates cut ~8–10%) rather than multiple-driven. The multiple has been remarkably stable, suggesting the market continues to ascribe a structural premium to TPL’s asset-light model and land optionality, but has not yet re-rated higher on the data center/power generation thesis. A Q2 beat with positive commentary on Project Kilby and desalination progress could be the catalyst for multiple expansion.</w:t>
      </w:r>
    </w:p>
    <w:p>
      <w:r>
        <w:rPr>
          <w:rFonts w:ascii="Calibri" w:hAnsi="Calibri"/>
          <w:b/>
          <w:color w:val="525866"/>
          <w:sz w:val="22"/>
        </w:rPr>
        <w:t>Key Events Since Q1 Earnings:</w:t>
      </w:r>
    </w:p>
    <w:p>
      <w:pPr>
        <w:pStyle w:val="ListBullet"/>
        <w:ind w:left="360" w:hanging="360"/>
      </w:pPr>
      <w:r>
        <w:rPr>
          <w:rFonts w:ascii="Calibri" w:hAnsi="Calibri"/>
          <w:b/>
          <w:color w:val="525866"/>
          <w:sz w:val="22"/>
        </w:rPr>
        <w:t xml:space="preserve">May 18, 2026: </w:t>
      </w:r>
      <w:r>
        <w:rPr>
          <w:rFonts w:ascii="Calibri" w:hAnsi="Calibri"/>
          <w:color w:val="525866"/>
          <w:sz w:val="22"/>
        </w:rPr>
        <w:t>TPL Investor Day / Shareholder Office and Water Field Visit in Midland — Phase 2b desalination facility construction complete, operations to commence May 2026; detailed water segment capital allocation framework presented; Bolt Data &amp; Energy advancing LOIs with blue-chip operators.</w:t>
      </w:r>
    </w:p>
    <w:p>
      <w:pPr>
        <w:pStyle w:val="ListBullet"/>
        <w:ind w:left="360" w:hanging="360"/>
      </w:pPr>
      <w:r>
        <w:rPr>
          <w:rFonts w:ascii="Calibri" w:hAnsi="Calibri"/>
          <w:b/>
          <w:color w:val="525866"/>
          <w:sz w:val="22"/>
        </w:rPr>
        <w:t xml:space="preserve">June 23, 2026: </w:t>
      </w:r>
      <w:r>
        <w:rPr>
          <w:rFonts w:ascii="Calibri" w:hAnsi="Calibri"/>
          <w:color w:val="525866"/>
          <w:sz w:val="22"/>
        </w:rPr>
        <w:t>Chevron Project Kilby agreement announced (8-K) — TPL to provide land and brackish water for Chevron’s GW-scale power generation/data center in Reeves County, TX; cash consideration for land + exclusive water sourcing rights. Stock rallied ~3.5% on the day.</w:t>
      </w:r>
    </w:p>
    <w:p>
      <w:pPr>
        <w:pStyle w:val="ListBullet"/>
        <w:ind w:left="360" w:hanging="360"/>
      </w:pPr>
      <w:r>
        <w:rPr>
          <w:rFonts w:ascii="Calibri" w:hAnsi="Calibri"/>
          <w:b/>
          <w:color w:val="525866"/>
          <w:sz w:val="22"/>
        </w:rPr>
        <w:t xml:space="preserve">July 15, 2026: </w:t>
      </w:r>
      <w:r>
        <w:rPr>
          <w:rFonts w:ascii="Calibri" w:hAnsi="Calibri"/>
          <w:color w:val="525866"/>
          <w:sz w:val="22"/>
        </w:rPr>
        <w:t>TPL sets Q2 2026 earnings release and conference call dates (August 6, 2026, 10:30 AM ET).</w:t>
      </w:r>
    </w:p>
    <w:p>
      <w:r>
        <w:rPr>
          <w:rFonts w:ascii="Calibri" w:hAnsi="Calibri"/>
          <w:i/>
          <w:color w:val="525866"/>
          <w:sz w:val="22"/>
        </w:rPr>
        <w:t>Source: Stock Price Data (Yahoo Finance); Stock Performance Decomposition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Chevron Project Kilby agreement (June 23) is the most material post-Q1 development — it is the second concrete data center/power generation land deal in two quarters, validates the next-gen strategy with a supermajor counterparty, and introduces both a one-time Q2 land sale revenue item and a long-duration water supply contract that will recur for the life of the project.</w:t>
      </w:r>
    </w:p>
    <w:p>
      <w:pPr>
        <w:pStyle w:val="ListBullet"/>
        <w:ind w:left="360" w:hanging="360"/>
      </w:pPr>
      <w:r>
        <w:rPr>
          <w:rFonts w:ascii="Calibri" w:hAnsi="Calibri"/>
          <w:b/>
          <w:color w:val="525866"/>
          <w:sz w:val="22"/>
        </w:rPr>
        <w:t xml:space="preserve">June 23, 2026 — Chevron Project Kilby Agreement (8-K): </w:t>
      </w:r>
      <w:r>
        <w:rPr>
          <w:rFonts w:ascii="Calibri" w:hAnsi="Calibri"/>
          <w:color w:val="525866"/>
          <w:sz w:val="22"/>
        </w:rPr>
        <w:t xml:space="preserve">TPL signed an agreement with Chevron U.S.A. Inc. to provide land and brackish water resources for Project Kilby, a large-scale power generation facility supporting a customer data center in Reeves County, TX. TPL contributed surface acreage in exchange for cash consideration and the exclusive right to source aquifer-derived water for the facility. CEO Ty Glover: "West Texas [is] a premier location for compute infrastructure." </w:t>
      </w:r>
      <w:r>
        <w:rPr>
          <w:rFonts w:ascii="Calibri" w:hAnsi="Calibri"/>
          <w:b/>
          <w:color w:val="525866"/>
          <w:sz w:val="22"/>
        </w:rPr>
        <w:t xml:space="preserve">Implication: </w:t>
      </w:r>
      <w:r>
        <w:rPr>
          <w:rFonts w:ascii="Calibri" w:hAnsi="Calibri"/>
          <w:color w:val="525866"/>
          <w:sz w:val="22"/>
        </w:rPr>
        <w:t>Introduces a one-time land sale revenue item in Q2 2026 (likely excluded from adjusted EBITDA, creating noise) and a long-duration water supply contract. Second blue-chip deal in two quarters validates the next-gen land monetization thesis.</w:t>
      </w:r>
    </w:p>
    <w:p>
      <w:pPr>
        <w:pStyle w:val="ListBullet"/>
        <w:ind w:left="360" w:hanging="360"/>
      </w:pPr>
      <w:r>
        <w:rPr>
          <w:rFonts w:ascii="Calibri" w:hAnsi="Calibri"/>
          <w:b/>
          <w:color w:val="525866"/>
          <w:sz w:val="22"/>
        </w:rPr>
        <w:t xml:space="preserve">May 18, 2026 — Investor Day / Shareholder Field Visit (Midland): </w:t>
      </w:r>
      <w:r>
        <w:rPr>
          <w:rFonts w:ascii="Calibri" w:hAnsi="Calibri"/>
          <w:color w:val="525866"/>
          <w:sz w:val="22"/>
        </w:rPr>
        <w:t xml:space="preserve">TPL hosted investors at its Midland office and water field operations. Key disclosures: Phase 2b freeze desalination facility (10,000 bbl/d, $31M capex) construction complete, operations commencing May 2026; water sales price $0.50–$1.00/bbl vs. direct opex $0.10–$0.20/bbl; annual maintenance capex ~$10–20M; growth capex $10–30M/year; Bolt Data &amp; Energy advancing LOIs and RFPs with blue-chip operators/developers. </w:t>
      </w:r>
      <w:r>
        <w:rPr>
          <w:rFonts w:ascii="Calibri" w:hAnsi="Calibri"/>
          <w:b/>
          <w:color w:val="525866"/>
          <w:sz w:val="22"/>
        </w:rPr>
        <w:t xml:space="preserve">Implication: </w:t>
      </w:r>
      <w:r>
        <w:rPr>
          <w:rFonts w:ascii="Calibri" w:hAnsi="Calibri"/>
          <w:color w:val="525866"/>
          <w:sz w:val="22"/>
        </w:rPr>
        <w:t>Desalination facility first flow in Q2 2026 is a new revenue contributor; Bolt pipeline suggests additional data center deals are in progress.</w:t>
      </w:r>
    </w:p>
    <w:p>
      <w:pPr>
        <w:pStyle w:val="ListBullet"/>
        <w:ind w:left="360" w:hanging="360"/>
      </w:pPr>
      <w:r>
        <w:rPr>
          <w:rFonts w:ascii="Calibri" w:hAnsi="Calibri"/>
          <w:b/>
          <w:color w:val="525866"/>
          <w:sz w:val="22"/>
        </w:rPr>
        <w:t xml:space="preserve">May 6, 2026 — Peter Doyle (Horizon Kinetics Co-CEO) Appointed to TPL Board (8-K): </w:t>
      </w:r>
      <w:r>
        <w:rPr>
          <w:rFonts w:ascii="Calibri" w:hAnsi="Calibri"/>
          <w:color w:val="525866"/>
          <w:sz w:val="22"/>
        </w:rPr>
        <w:t xml:space="preserve">Following the passing of Murray Stahl (Horizon Kinetics founder and TPL’s largest shareholder advocate), TPL appointed Peter Doyle to its board. Horizon Kinetics remains TPL’s largest shareholder (~10% owner). </w:t>
      </w:r>
      <w:r>
        <w:rPr>
          <w:rFonts w:ascii="Calibri" w:hAnsi="Calibri"/>
          <w:b/>
          <w:color w:val="525866"/>
          <w:sz w:val="22"/>
        </w:rPr>
        <w:t xml:space="preserve">Implication: </w:t>
      </w:r>
      <w:r>
        <w:rPr>
          <w:rFonts w:ascii="Calibri" w:hAnsi="Calibri"/>
          <w:color w:val="525866"/>
          <w:sz w:val="22"/>
        </w:rPr>
        <w:t>Continuity of the largest shareholder’s representation on the board; no change in strategic direction expected.</w:t>
      </w:r>
    </w:p>
    <w:p>
      <w:pPr>
        <w:pStyle w:val="ListBullet"/>
        <w:ind w:left="360" w:hanging="360"/>
      </w:pPr>
      <w:r>
        <w:rPr>
          <w:rFonts w:ascii="Calibri" w:hAnsi="Calibri"/>
          <w:b/>
          <w:color w:val="525866"/>
          <w:sz w:val="22"/>
        </w:rPr>
        <w:t xml:space="preserve">August 3, 2026 — Diamondback Energy (FANG) Q2 2026 Results: </w:t>
      </w:r>
      <w:r>
        <w:rPr>
          <w:rFonts w:ascii="Calibri" w:hAnsi="Calibri"/>
          <w:color w:val="525866"/>
          <w:sz w:val="22"/>
        </w:rPr>
        <w:t xml:space="preserve">FANG reported Q2 2026 oil production of 525 MBO/d (+4% vs. plan), total production of 1,018 MBOE/d (surpassing 1.0 MMBOE/d milestone), and unhedged realized oil price of $96.82/bbl. Completed 168 gross wells in Q2 2026 (97 drilled). Raised full-year oil production guidance to 522+ MBO/d. </w:t>
      </w:r>
      <w:r>
        <w:rPr>
          <w:rFonts w:ascii="Calibri" w:hAnsi="Calibri"/>
          <w:b/>
          <w:color w:val="525866"/>
          <w:sz w:val="22"/>
        </w:rPr>
        <w:t xml:space="preserve">Implication: </w:t>
      </w:r>
      <w:r>
        <w:rPr>
          <w:rFonts w:ascii="Calibri" w:hAnsi="Calibri"/>
          <w:color w:val="525866"/>
          <w:sz w:val="22"/>
        </w:rPr>
        <w:t>Strong Permian activity and elevated realized prices are a direct read-through for TPL’s royalty volumes and per-BOE revenue in Q2 2026. FANG’s production beat and guidance raise suggest Permian operator activity was robust in Q2, a positive for TPL’s royalty stream.</w:t>
      </w:r>
    </w:p>
    <w:p>
      <w:pPr>
        <w:pStyle w:val="ListBullet"/>
        <w:ind w:left="360" w:hanging="360"/>
      </w:pPr>
      <w:r>
        <w:rPr>
          <w:rFonts w:ascii="Calibri" w:hAnsi="Calibri"/>
          <w:b/>
          <w:color w:val="525866"/>
          <w:sz w:val="22"/>
        </w:rPr>
        <w:t xml:space="preserve">July 10, 2026 — OXY Q2 2026 Realized Oil Prices: </w:t>
      </w:r>
      <w:r>
        <w:rPr>
          <w:rFonts w:ascii="Calibri" w:hAnsi="Calibri"/>
          <w:color w:val="525866"/>
          <w:sz w:val="22"/>
        </w:rPr>
        <w:t xml:space="preserve">Occidental Petroleum reported Q2 2026 realized oil prices surged 38.4% driven by higher crude rates amid the U.S.-Iran war. </w:t>
      </w:r>
      <w:r>
        <w:rPr>
          <w:rFonts w:ascii="Calibri" w:hAnsi="Calibri"/>
          <w:b/>
          <w:color w:val="525866"/>
          <w:sz w:val="22"/>
        </w:rPr>
        <w:t xml:space="preserve">Implication: </w:t>
      </w:r>
      <w:r>
        <w:rPr>
          <w:rFonts w:ascii="Calibri" w:hAnsi="Calibri"/>
          <w:color w:val="525866"/>
          <w:sz w:val="22"/>
        </w:rPr>
        <w:t>Corroborates the elevated Permian oil price environment in Q2 2026; TPL’s fully unhedged royalty stream captures this upside directly.</w:t>
      </w:r>
    </w:p>
    <w:p>
      <w:pPr>
        <w:pStyle w:val="ListBullet"/>
        <w:ind w:left="360" w:hanging="360"/>
      </w:pPr>
      <w:r>
        <w:rPr>
          <w:rFonts w:ascii="Calibri" w:hAnsi="Calibri"/>
          <w:b/>
          <w:color w:val="525866"/>
          <w:sz w:val="22"/>
        </w:rPr>
        <w:t xml:space="preserve">July 8, 2026 — Energy Sector Rally on Iran Tensions: </w:t>
      </w:r>
      <w:r>
        <w:rPr>
          <w:rFonts w:ascii="Calibri" w:hAnsi="Calibri"/>
          <w:color w:val="525866"/>
          <w:sz w:val="22"/>
        </w:rPr>
        <w:t xml:space="preserve">Energy stocks surged as Iran tensions pushed oil prices higher. </w:t>
      </w:r>
      <w:r>
        <w:rPr>
          <w:rFonts w:ascii="Calibri" w:hAnsi="Calibri"/>
          <w:b/>
          <w:color w:val="525866"/>
          <w:sz w:val="22"/>
        </w:rPr>
        <w:t xml:space="preserve">Implication: </w:t>
      </w:r>
      <w:r>
        <w:rPr>
          <w:rFonts w:ascii="Calibri" w:hAnsi="Calibri"/>
          <w:color w:val="525866"/>
          <w:sz w:val="22"/>
        </w:rPr>
        <w:t>Elevated geopolitical risk premium in oil prices during Q2 2026 is a tailwind for TPL’s unhedged royalty revenue.</w:t>
      </w:r>
    </w:p>
    <w:p>
      <w:pPr>
        <w:pStyle w:val="ListBullet"/>
        <w:ind w:left="360" w:hanging="360"/>
      </w:pPr>
      <w:r>
        <w:rPr>
          <w:rFonts w:ascii="Calibri" w:hAnsi="Calibri"/>
          <w:b/>
          <w:color w:val="525866"/>
          <w:sz w:val="22"/>
        </w:rPr>
        <w:t xml:space="preserve">July 15, 2026 — Q2 2026 Earnings Date Set: </w:t>
      </w:r>
      <w:r>
        <w:rPr>
          <w:rFonts w:ascii="Calibri" w:hAnsi="Calibri"/>
          <w:color w:val="525866"/>
          <w:sz w:val="22"/>
        </w:rPr>
        <w:t>TPL announced August 6, 2026 earnings release and 10:30 AM ET conference call. No pre-announcement or guidance update was issued alongside the date announcement — consistent with no material negative surprises.</w:t>
      </w:r>
    </w:p>
    <w:p>
      <w:r>
        <w:br w:type="page"/>
      </w:r>
    </w:p>
    <w:p>
      <w:pPr>
        <w:pStyle w:val="Heading1"/>
        <w:pBdr>
          <w:bottom w:val="single" w:sz="4" w:space="1" w:color="FB9120"/>
        </w:pBdr>
      </w:pPr>
      <w:r>
        <w:rPr>
          <w:rFonts w:ascii="Calibri" w:hAnsi="Calibri"/>
          <w:b/>
          <w:color w:val="3B4259"/>
          <w:sz w:val="40"/>
        </w:rPr>
        <w:t>7. Peer Commentary &amp; Current-Quarter Read-Throughs (Q2 2026)</w:t>
      </w:r>
    </w:p>
    <w:p>
      <w:r>
        <w:rPr>
          <w:rFonts w:ascii="Calibri" w:hAnsi="Calibri"/>
          <w:b/>
          <w:color w:val="525866"/>
          <w:sz w:val="22"/>
        </w:rPr>
        <w:t xml:space="preserve">Timing Filter Applied: </w:t>
      </w:r>
      <w:r>
        <w:rPr>
          <w:rFonts w:ascii="Calibri" w:hAnsi="Calibri"/>
          <w:i/>
          <w:color w:val="525866"/>
          <w:sz w:val="22"/>
        </w:rPr>
        <w:t>Only commentary made within the last 60 days (on or after June 5, 2026) AND specifically addressing Q2 2026 (April–June 2026) operating conditions is included. Prior-quarter earnings commentary (e.g., Q1 2025 results discussed on Q1 2025 calls) is explicitly excluded. Commentary about future quarters (Q3 2026 guidance) is noted separately as forward context only.</w:t>
      </w:r>
    </w:p>
    <w:p>
      <w:pPr>
        <w:pStyle w:val="Heading2"/>
      </w:pPr>
      <w:r>
        <w:rPr>
          <w:rFonts w:ascii="Calibri" w:hAnsi="Calibri"/>
          <w:b/>
          <w:color w:val="3B4259"/>
          <w:sz w:val="28"/>
        </w:rPr>
        <w:t>Diamondback Energy (FANG) — Q2 2026 Earnings Release &amp; Call (August 3–4, 2026)</w:t>
      </w:r>
    </w:p>
    <w:p>
      <w:r>
        <w:rPr>
          <w:rFonts w:ascii="Calibri" w:hAnsi="Calibri"/>
          <w:b/>
          <w:color w:val="525866"/>
          <w:sz w:val="22"/>
        </w:rPr>
        <w:t xml:space="preserve">Relevance to TPL: </w:t>
      </w:r>
      <w:r>
        <w:rPr>
          <w:rFonts w:ascii="Calibri" w:hAnsi="Calibri"/>
          <w:color w:val="525866"/>
          <w:sz w:val="22"/>
        </w:rPr>
        <w:t>FANG is the largest independent E&amp;P in the Permian Basin and one of TPL’s most significant royalty-paying operators. FANG’s Q2 2026 results are the single most important peer read-through for TPL’s royalty volumes, realized prices, and water demand.</w:t>
      </w:r>
    </w:p>
    <w:p>
      <w:pPr>
        <w:pStyle w:val="Heading3"/>
      </w:pPr>
      <w:r>
        <w:rPr>
          <w:rFonts w:ascii="Calibri" w:hAnsi="Calibri"/>
          <w:b/>
          <w:color w:val="3B4259"/>
          <w:sz w:val="24"/>
        </w:rPr>
        <w:t>Permian Production &amp; Drilling Activity (Q2 2026 Actuals)</w:t>
      </w:r>
    </w:p>
    <w:p>
      <w:pPr>
        <w:pStyle w:val="ListBullet"/>
        <w:ind w:left="360" w:hanging="360"/>
      </w:pPr>
      <w:r>
        <w:rPr>
          <w:rFonts w:ascii="Calibri" w:hAnsi="Calibri"/>
          <w:b/>
          <w:color w:val="525866"/>
          <w:sz w:val="22"/>
        </w:rPr>
        <w:t xml:space="preserve">Production milestone: </w:t>
      </w:r>
      <w:r>
        <w:rPr>
          <w:rFonts w:ascii="Calibri" w:hAnsi="Calibri"/>
          <w:color w:val="525866"/>
          <w:sz w:val="22"/>
        </w:rPr>
        <w:t xml:space="preserve">FANG reported Q2 2026 total production of 1,018 MBOE/d, surpassing the 1.0 MMBOE/d milestone, with oil production of 525 MBO/d. Drilled 97 gross wells and completed 168 gross wells in Q2 2026 in the Midland Basin. Average completed lateral length of 11,983 feet. </w:t>
      </w:r>
      <w:r>
        <w:rPr>
          <w:rFonts w:ascii="Calibri" w:hAnsi="Calibri"/>
          <w:b/>
          <w:color w:val="525866"/>
          <w:sz w:val="22"/>
        </w:rPr>
        <w:t xml:space="preserve">TPL read-through: </w:t>
      </w:r>
      <w:r>
        <w:rPr>
          <w:rFonts w:ascii="Calibri" w:hAnsi="Calibri"/>
          <w:color w:val="525866"/>
          <w:sz w:val="22"/>
        </w:rPr>
        <w:t>High completion activity and record production in the Permian during Q2 2026 is a direct positive for TPL’s royalty volumes and water demand. FANG’s 168 completions in Q2 represent robust frac activity that drives both royalty production and water sales for TPL.</w:t>
      </w:r>
    </w:p>
    <w:p>
      <w:pPr>
        <w:pStyle w:val="ListBullet"/>
        <w:ind w:left="360" w:hanging="360"/>
      </w:pPr>
      <w:r>
        <w:rPr>
          <w:rFonts w:ascii="Calibri" w:hAnsi="Calibri"/>
          <w:b/>
          <w:color w:val="525866"/>
          <w:sz w:val="22"/>
        </w:rPr>
        <w:t xml:space="preserve">Realized oil prices: </w:t>
      </w:r>
      <w:r>
        <w:rPr>
          <w:rFonts w:ascii="Calibri" w:hAnsi="Calibri"/>
          <w:color w:val="525866"/>
          <w:sz w:val="22"/>
        </w:rPr>
        <w:t xml:space="preserve">FANG reported Q2 2026 unhedged realized oil price of $96.82/bbl and hedged price of $94.33/bbl. Combined unhedged price of $51.68/BOE. </w:t>
      </w:r>
      <w:r>
        <w:rPr>
          <w:rFonts w:ascii="Calibri" w:hAnsi="Calibri"/>
          <w:b/>
          <w:color w:val="525866"/>
          <w:sz w:val="22"/>
        </w:rPr>
        <w:t xml:space="preserve">TPL read-through: </w:t>
      </w:r>
      <w:r>
        <w:rPr>
          <w:rFonts w:ascii="Calibri" w:hAnsi="Calibri"/>
          <w:color w:val="525866"/>
          <w:sz w:val="22"/>
        </w:rPr>
        <w:t>TPL is fully unhedged; Permian realized prices of ~$97/bbl in Q2 2026 translate directly into higher per-BOE royalty revenue vs. Q1 2026 and Q2 2025. This is the single biggest upside driver for TPL’s Q2 revenue and EPS vs. consensus.</w:t>
      </w:r>
    </w:p>
    <w:p>
      <w:pPr>
        <w:pStyle w:val="ListBullet"/>
        <w:ind w:left="360" w:hanging="360"/>
      </w:pPr>
      <w:r>
        <w:rPr>
          <w:rFonts w:ascii="Calibri" w:hAnsi="Calibri"/>
          <w:b/>
          <w:color w:val="525866"/>
          <w:sz w:val="22"/>
        </w:rPr>
        <w:t xml:space="preserve">Water constraints commentary (Q2 2026 call, August 4): </w:t>
      </w:r>
      <w:r>
        <w:rPr>
          <w:rFonts w:ascii="Calibri" w:hAnsi="Calibri"/>
          <w:color w:val="525866"/>
          <w:sz w:val="22"/>
        </w:rPr>
        <w:t xml:space="preserve">FANG CEO Case Van’t Hof on water disposal: "You haven’t seen anything yet in terms of constraints on our system... the days of 1 or 2 switches being hooked up to a system makes no sense... the water discussion is certainly getting a lot more attention in this basin." FANG highlighted the Texas Railroad Commission’s moratorium on new produced water disposal well permits as a risk factor. </w:t>
      </w:r>
      <w:r>
        <w:rPr>
          <w:rFonts w:ascii="Calibri" w:hAnsi="Calibri"/>
          <w:b/>
          <w:color w:val="525866"/>
          <w:sz w:val="22"/>
        </w:rPr>
        <w:t xml:space="preserve">TPL read-through: </w:t>
      </w:r>
      <w:r>
        <w:rPr>
          <w:rFonts w:ascii="Calibri" w:hAnsi="Calibri"/>
          <w:color w:val="525866"/>
          <w:sz w:val="22"/>
        </w:rPr>
        <w:t>The TRC moratorium on new SWD permits is a structural positive for TPL’s produced water royalty business — operators need alternative disposal solutions, and TPL’s pore space and disposal infrastructure become more valuable. FANG’s commentary validates the secular growth thesis for TPL’s produced water segment.</w:t>
      </w:r>
    </w:p>
    <w:p>
      <w:pPr>
        <w:pStyle w:val="ListBullet"/>
        <w:ind w:left="360" w:hanging="360"/>
      </w:pPr>
      <w:r>
        <w:rPr>
          <w:rFonts w:ascii="Calibri" w:hAnsi="Calibri"/>
          <w:b/>
          <w:color w:val="525866"/>
          <w:sz w:val="22"/>
        </w:rPr>
        <w:t xml:space="preserve">Data center / power generation commentary (Q2 2026 call, August 4): </w:t>
      </w:r>
      <w:r>
        <w:rPr>
          <w:rFonts w:ascii="Calibri" w:hAnsi="Calibri"/>
          <w:color w:val="525866"/>
          <w:sz w:val="22"/>
        </w:rPr>
        <w:t xml:space="preserve">FANG CFO Jerry Thompson: "We have secured distributed power generation, remediated land and directed access to dedicated Nat gas and water supply... to deliver scalable, reliable power near Midland, Texas... first gas as soon as the back half of 2027." FANG CEO: "I was in a room with a lot of the tech world about a year and a half ago... someone that was in that meeting called me last week and said, I’m coming to West Texas and I want to build behind the meter." </w:t>
      </w:r>
      <w:r>
        <w:rPr>
          <w:rFonts w:ascii="Calibri" w:hAnsi="Calibri"/>
          <w:b/>
          <w:color w:val="525866"/>
          <w:sz w:val="22"/>
        </w:rPr>
        <w:t xml:space="preserve">TPL read-through: </w:t>
      </w:r>
      <w:r>
        <w:rPr>
          <w:rFonts w:ascii="Calibri" w:hAnsi="Calibri"/>
          <w:color w:val="525866"/>
          <w:sz w:val="22"/>
        </w:rPr>
        <w:t>FANG’s data center/power project (Bryant Ranch, 3,000 acres near Midland) validates the West Texas compute infrastructure thesis that underpins TPL’s Project Kilby deal with Chevron. Multiple supermajors and large independents are now pursuing similar projects, increasing the addressable market for TPL’s land and water assets.</w:t>
      </w:r>
    </w:p>
    <w:p>
      <w:pPr>
        <w:pStyle w:val="ListBullet"/>
        <w:ind w:left="360" w:hanging="360"/>
      </w:pPr>
      <w:r>
        <w:rPr>
          <w:rFonts w:ascii="Calibri" w:hAnsi="Calibri"/>
          <w:b/>
          <w:color w:val="525866"/>
          <w:sz w:val="22"/>
        </w:rPr>
        <w:t xml:space="preserve">Macro / oil price outlook (Q2 2026 call, August 4): </w:t>
      </w:r>
      <w:r>
        <w:rPr>
          <w:rFonts w:ascii="Calibri" w:hAnsi="Calibri"/>
          <w:color w:val="525866"/>
          <w:sz w:val="22"/>
        </w:rPr>
        <w:t xml:space="preserve">FANG CEO: "Inventories are draining, not only on the oil side, but on the product side... those inventories are going to have to be refilled... that does skew us towards the decision to grow production versus hold production flat." FANG raised full-year 2026 oil production guidance to 522+ MBO/d (from 520+). </w:t>
      </w:r>
      <w:r>
        <w:rPr>
          <w:rFonts w:ascii="Calibri" w:hAnsi="Calibri"/>
          <w:b/>
          <w:color w:val="525866"/>
          <w:sz w:val="22"/>
        </w:rPr>
        <w:t xml:space="preserve">TPL read-through: </w:t>
      </w:r>
      <w:r>
        <w:rPr>
          <w:rFonts w:ascii="Calibri" w:hAnsi="Calibri"/>
          <w:color w:val="525866"/>
          <w:sz w:val="22"/>
        </w:rPr>
        <w:t>FANG’s decision to grow production in response to elevated oil prices and inventory draws is a direct positive for TPL’s royalty volumes in H2 2026. The guidance raise suggests Permian activity will remain elevated, supporting TPL’s line-of-sight well inventory conversion.</w:t>
      </w:r>
    </w:p>
    <w:p>
      <w:pPr>
        <w:pStyle w:val="ListBullet"/>
        <w:ind w:left="360" w:hanging="360"/>
      </w:pPr>
      <w:r>
        <w:rPr>
          <w:rFonts w:ascii="Calibri" w:hAnsi="Calibri"/>
          <w:b/>
          <w:color w:val="525866"/>
          <w:sz w:val="22"/>
        </w:rPr>
        <w:t xml:space="preserve">Oilfield service cost inflation (Q2 2026 call, August 4): </w:t>
      </w:r>
      <w:r>
        <w:rPr>
          <w:rFonts w:ascii="Calibri" w:hAnsi="Calibri"/>
          <w:color w:val="525866"/>
          <w:sz w:val="22"/>
        </w:rPr>
        <w:t xml:space="preserve">FANG noted ~1% total well cost inflation from casing prices in H2 2026, offset by efficiency gains. Electric frac fleets mitigated fuel cost inflation. </w:t>
      </w:r>
      <w:r>
        <w:rPr>
          <w:rFonts w:ascii="Calibri" w:hAnsi="Calibri"/>
          <w:b/>
          <w:color w:val="525866"/>
          <w:sz w:val="22"/>
        </w:rPr>
        <w:t xml:space="preserve">TPL read-through: </w:t>
      </w:r>
      <w:r>
        <w:rPr>
          <w:rFonts w:ascii="Calibri" w:hAnsi="Calibri"/>
          <w:color w:val="525866"/>
          <w:sz w:val="22"/>
        </w:rPr>
        <w:t>Modest cost inflation for operators is unlikely to deter drilling activity at current oil prices; TPL’s royalty model is insulated from operator cost inflation as it bears no direct operating expenses.</w:t>
      </w:r>
    </w:p>
    <w:p>
      <w:pPr>
        <w:pStyle w:val="Heading2"/>
      </w:pPr>
      <w:r>
        <w:rPr>
          <w:rFonts w:ascii="Calibri" w:hAnsi="Calibri"/>
          <w:b/>
          <w:color w:val="3B4259"/>
          <w:sz w:val="28"/>
        </w:rPr>
        <w:t>Matador Resources (MTDR) — Permian Acquisition Activity (July 22–23, 2026)</w:t>
      </w:r>
    </w:p>
    <w:p>
      <w:r>
        <w:rPr>
          <w:rFonts w:ascii="Calibri" w:hAnsi="Calibri"/>
          <w:b/>
          <w:color w:val="525866"/>
          <w:sz w:val="22"/>
        </w:rPr>
        <w:t xml:space="preserve">Relevance to TPL: </w:t>
      </w:r>
      <w:r>
        <w:rPr>
          <w:rFonts w:ascii="Calibri" w:hAnsi="Calibri"/>
          <w:color w:val="525866"/>
          <w:sz w:val="22"/>
        </w:rPr>
        <w:t>MTDR operates in the Delaware Basin (Eddy/Lea Counties, NM; Winkler/Ward Counties, TX) — areas overlapping with TPL’s surface acreage. MTDR’s acquisition activity signals continued operator confidence in Permian development economics.</w:t>
      </w:r>
    </w:p>
    <w:p>
      <w:pPr>
        <w:pStyle w:val="ListBullet"/>
        <w:ind w:left="360" w:hanging="360"/>
      </w:pPr>
      <w:r>
        <w:rPr>
          <w:rFonts w:ascii="Calibri" w:hAnsi="Calibri"/>
          <w:b/>
          <w:color w:val="525866"/>
          <w:sz w:val="22"/>
        </w:rPr>
        <w:t xml:space="preserve">Paloma Acquisition (effective June 1, 2026): </w:t>
      </w:r>
      <w:r>
        <w:rPr>
          <w:rFonts w:ascii="Calibri" w:hAnsi="Calibri"/>
          <w:color w:val="525866"/>
          <w:sz w:val="22"/>
        </w:rPr>
        <w:t xml:space="preserve">MTDR agreed to acquire proved undeveloped acreage and producing properties in Eddy and Lea Counties, NM for $1.275B (closing expected Q4 2026). </w:t>
      </w:r>
      <w:r>
        <w:rPr>
          <w:rFonts w:ascii="Calibri" w:hAnsi="Calibri"/>
          <w:b/>
          <w:color w:val="525866"/>
          <w:sz w:val="22"/>
        </w:rPr>
        <w:t xml:space="preserve">TPL read-through: </w:t>
      </w:r>
      <w:r>
        <w:rPr>
          <w:rFonts w:ascii="Calibri" w:hAnsi="Calibri"/>
          <w:color w:val="525866"/>
          <w:sz w:val="22"/>
        </w:rPr>
        <w:t>Large-scale Permian acreage acquisitions at premium valuations confirm operator confidence in long-term Permian development economics. Increased operator footprint in the Delaware Basin is a positive for TPL’s produced water royalty volumes as new wells are drilled and completed.</w:t>
      </w:r>
    </w:p>
    <w:p>
      <w:pPr>
        <w:pStyle w:val="ListBullet"/>
        <w:ind w:left="360" w:hanging="360"/>
      </w:pPr>
      <w:r>
        <w:rPr>
          <w:rFonts w:ascii="Calibri" w:hAnsi="Calibri"/>
          <w:b/>
          <w:color w:val="525866"/>
          <w:sz w:val="22"/>
        </w:rPr>
        <w:t xml:space="preserve">Ridge Runner Acquisition (effective June 1, 2026): </w:t>
      </w:r>
      <w:r>
        <w:rPr>
          <w:rFonts w:ascii="Calibri" w:hAnsi="Calibri"/>
          <w:color w:val="525866"/>
          <w:sz w:val="22"/>
        </w:rPr>
        <w:t xml:space="preserve">MTDR agreed to acquire primarily undeveloped acreage in Lea County, NM and Winkler and Ward Counties, TX. </w:t>
      </w:r>
      <w:r>
        <w:rPr>
          <w:rFonts w:ascii="Calibri" w:hAnsi="Calibri"/>
          <w:b/>
          <w:color w:val="525866"/>
          <w:sz w:val="22"/>
        </w:rPr>
        <w:t xml:space="preserve">TPL read-through: </w:t>
      </w:r>
      <w:r>
        <w:rPr>
          <w:rFonts w:ascii="Calibri" w:hAnsi="Calibri"/>
          <w:color w:val="525866"/>
          <w:sz w:val="22"/>
        </w:rPr>
        <w:t>Winkler and Ward Counties, TX are within or adjacent to TPL’s surface acreage footprint; increased operator activity in these counties is a direct positive for TPL’s water sales and surface lease revenue.</w:t>
      </w:r>
    </w:p>
    <w:p>
      <w:pPr>
        <w:pStyle w:val="Heading2"/>
      </w:pPr>
      <w:r>
        <w:rPr>
          <w:rFonts w:ascii="Calibri" w:hAnsi="Calibri"/>
          <w:b/>
          <w:color w:val="3B4259"/>
          <w:sz w:val="28"/>
        </w:rPr>
        <w:t>Occidental Petroleum (OXY) — Q2 2026 Realized Prices (July 10, 2026)</w:t>
      </w:r>
    </w:p>
    <w:p>
      <w:pPr>
        <w:pStyle w:val="ListBullet"/>
        <w:ind w:left="360" w:hanging="360"/>
      </w:pPr>
      <w:r>
        <w:rPr>
          <w:rFonts w:ascii="Calibri" w:hAnsi="Calibri"/>
          <w:color w:val="525866"/>
          <w:sz w:val="22"/>
        </w:rPr>
        <w:t xml:space="preserve">OXY Q2 2026 realized oil prices surged 38.4% year-over-year, driven by higher crude rates amid the U.S.-Iran war. </w:t>
      </w:r>
      <w:r>
        <w:rPr>
          <w:rFonts w:ascii="Calibri" w:hAnsi="Calibri"/>
          <w:b/>
          <w:color w:val="525866"/>
          <w:sz w:val="22"/>
        </w:rPr>
        <w:t xml:space="preserve">TPL read-through: </w:t>
      </w:r>
      <w:r>
        <w:rPr>
          <w:rFonts w:ascii="Calibri" w:hAnsi="Calibri"/>
          <w:color w:val="525866"/>
          <w:sz w:val="22"/>
        </w:rPr>
        <w:t>Corroborates the elevated Permian oil price environment in Q2 2026 across multiple operators; TPL’s fully unhedged royalty stream captures this upside directly. The 38.4% YoY price increase is consistent with the commodity tailwind embedded in TPL’s Q2 2026 consensus estimates.</w:t>
      </w:r>
    </w:p>
    <w:p>
      <w:pPr>
        <w:pStyle w:val="Heading2"/>
      </w:pPr>
      <w:r>
        <w:rPr>
          <w:rFonts w:ascii="Calibri" w:hAnsi="Calibri"/>
          <w:b/>
          <w:color w:val="3B4259"/>
          <w:sz w:val="28"/>
        </w:rPr>
        <w:t>Excluded Commentary (Timing Filter)</w:t>
      </w:r>
    </w:p>
    <w:p>
      <w:r>
        <w:rPr>
          <w:rFonts w:ascii="Calibri" w:hAnsi="Calibri"/>
          <w:i/>
          <w:color w:val="525866"/>
          <w:sz w:val="22"/>
        </w:rPr>
        <w:t>The following were reviewed and excluded:</w:t>
      </w:r>
    </w:p>
    <w:p>
      <w:pPr>
        <w:pStyle w:val="ListBullet"/>
        <w:ind w:left="360" w:hanging="360"/>
      </w:pPr>
      <w:r>
        <w:rPr>
          <w:rFonts w:ascii="Calibri" w:hAnsi="Calibri"/>
          <w:b/>
          <w:color w:val="525866"/>
          <w:sz w:val="22"/>
        </w:rPr>
        <w:t xml:space="preserve">TPL Q1 2026 Earnings Call (May 7, 2026): </w:t>
      </w:r>
      <w:r>
        <w:rPr>
          <w:rFonts w:ascii="Calibri" w:hAnsi="Calibri"/>
          <w:i/>
          <w:color w:val="525866"/>
          <w:sz w:val="22"/>
        </w:rPr>
        <w:t>Excluded as prior-quarter results commentary (Q1 2026 actuals). Qualitative forward guidance from this call is captured in Section 3 (Guidance &amp; Commentary Evolution).</w:t>
      </w:r>
    </w:p>
    <w:p>
      <w:pPr>
        <w:pStyle w:val="ListBullet"/>
        <w:ind w:left="360" w:hanging="360"/>
      </w:pPr>
      <w:r>
        <w:rPr>
          <w:rFonts w:ascii="Calibri" w:hAnsi="Calibri"/>
          <w:b/>
          <w:color w:val="525866"/>
          <w:sz w:val="22"/>
        </w:rPr>
        <w:t xml:space="preserve">FANG Q2 2026 guidance for Q3 2026 and FY 2026: </w:t>
      </w:r>
      <w:r>
        <w:rPr>
          <w:rFonts w:ascii="Calibri" w:hAnsi="Calibri"/>
          <w:i/>
          <w:color w:val="525866"/>
          <w:sz w:val="22"/>
        </w:rPr>
        <w:t>Excluded as forward-looking guidance for a future period, not Q2 2026 actuals. Noted in Section 6 (Material News) as forward context.</w:t>
      </w:r>
    </w:p>
    <w:p>
      <w:pPr>
        <w:pStyle w:val="ListBullet"/>
        <w:ind w:left="360" w:hanging="360"/>
      </w:pPr>
      <w:r>
        <w:rPr>
          <w:rFonts w:ascii="Calibri" w:hAnsi="Calibri"/>
          <w:b/>
          <w:color w:val="525866"/>
          <w:sz w:val="22"/>
        </w:rPr>
        <w:t xml:space="preserve">MTDR Q1 2025 / Q4 2025 earnings commentary: </w:t>
      </w:r>
      <w:r>
        <w:rPr>
          <w:rFonts w:ascii="Calibri" w:hAnsi="Calibri"/>
          <w:i/>
          <w:color w:val="525866"/>
          <w:sz w:val="22"/>
        </w:rPr>
        <w:t>Not found in the search results; no prior-quarter stale commentary was included.</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The only notable insider activity is Horizon Kinetics Asset Management LLC’s persistent daily open-market buying of 1–2 shares per day since May 2026 — a continuation of its long-standing accumulation program — and a single 10b5-1 planned sale by CFO Chris Steddum in early June 2026. The Horizon Kinetics buying is a structural signal of the largest shareholder’s continued conviction; the CFO sale is obligation-driven and not a discretionary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 (approx.)</w:t>
            </w:r>
          </w:p>
        </w:tc>
        <w:tc>
          <w:tcPr>
            <w:tcW w:type="dxa" w:w="1440"/>
            <w:shd w:val="clear" w:color="auto" w:fill="3B4259"/>
          </w:tcPr>
          <w:p>
            <w:r>
              <w:rPr>
                <w:rFonts w:ascii="Calibri" w:hAnsi="Calibri"/>
                <w:b/>
                <w:color w:val="FFFFFF"/>
                <w:sz w:val="22"/>
              </w:rPr>
              <w:t>Date Range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Horizon Kinetics Asset Management LLC</w:t>
            </w:r>
          </w:p>
        </w:tc>
        <w:tc>
          <w:tcPr>
            <w:tcW w:type="dxa" w:w="1440"/>
          </w:tcPr>
          <w:p>
            <w:r>
              <w:rPr>
                <w:rFonts w:ascii="Calibri" w:hAnsi="Calibri"/>
                <w:sz w:val="22"/>
              </w:rPr>
              <w:t>10% Owner (Largest Shareholder)</w:t>
            </w:r>
          </w:p>
        </w:tc>
        <w:tc>
          <w:tcPr>
            <w:tcW w:type="dxa" w:w="1440"/>
          </w:tcPr>
          <w:p>
            <w:r>
              <w:rPr>
                <w:rFonts w:ascii="Calibri" w:hAnsi="Calibri"/>
                <w:b/>
                <w:color w:val="30A46C"/>
                <w:sz w:val="22"/>
              </w:rPr>
              <w:t>Open Market Buy</w:t>
            </w:r>
          </w:p>
        </w:tc>
        <w:tc>
          <w:tcPr>
            <w:tcW w:type="dxa" w:w="1440"/>
          </w:tcPr>
          <w:p>
            <w:r>
              <w:rPr>
                <w:rFonts w:ascii="Calibri" w:hAnsi="Calibri"/>
                <w:sz w:val="22"/>
              </w:rPr>
              <w:t>~56 shares total (1–2 shares/day); ~$22,000–25,000 total at prevailing prices</w:t>
            </w:r>
          </w:p>
        </w:tc>
        <w:tc>
          <w:tcPr>
            <w:tcW w:type="dxa" w:w="1440"/>
          </w:tcPr>
          <w:p>
            <w:r>
              <w:rPr>
                <w:rFonts w:ascii="Calibri" w:hAnsi="Calibri"/>
                <w:sz w:val="22"/>
              </w:rPr>
              <w:t>May 5 – Aug 3, 2026 (daily purchases, every trading day)</w:t>
            </w:r>
          </w:p>
        </w:tc>
        <w:tc>
          <w:tcPr>
            <w:tcW w:type="dxa" w:w="1440"/>
          </w:tcPr>
          <w:p>
            <w:r>
              <w:rPr>
                <w:rFonts w:ascii="Calibri" w:hAnsi="Calibri"/>
                <w:sz w:val="22"/>
              </w:rPr>
              <w:t>Persistent daily accumulation; discretionary open-market buys; no 10b5-1 plan flag. Horizon Kinetics holds ~3.24M shares (~10% of outstanding). Buying continued through stock weakness in June 2026. Strong conviction signal from the company’s largest and longest-tenured shareholder.</w:t>
            </w:r>
          </w:p>
        </w:tc>
      </w:tr>
      <w:tr>
        <w:tc>
          <w:tcPr>
            <w:tcW w:type="dxa" w:w="1440"/>
          </w:tcPr>
          <w:p>
            <w:r>
              <w:rPr>
                <w:rFonts w:ascii="Calibri" w:hAnsi="Calibri"/>
                <w:sz w:val="22"/>
              </w:rPr>
              <w:t>Steddum, Chris</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4,000 shares total (3,170 on June 5 + 830 on June 8); ~$1.56M at ~$390/share</w:t>
            </w:r>
          </w:p>
        </w:tc>
        <w:tc>
          <w:tcPr>
            <w:tcW w:type="dxa" w:w="1440"/>
          </w:tcPr>
          <w:p>
            <w:r>
              <w:rPr>
                <w:rFonts w:ascii="Calibri" w:hAnsi="Calibri"/>
                <w:sz w:val="22"/>
              </w:rPr>
              <w:t>June 5–8, 2026</w:t>
            </w:r>
          </w:p>
        </w:tc>
        <w:tc>
          <w:tcPr>
            <w:tcW w:type="dxa" w:w="1440"/>
          </w:tcPr>
          <w:p>
            <w:r>
              <w:rPr>
                <w:rFonts w:ascii="Calibri" w:hAnsi="Calibri"/>
                <w:sz w:val="22"/>
              </w:rPr>
              <w:t>Pre-planned 10b5-1 sale; obligation-driven, not discretionary. CFO retained 12,040 shares post-sale. Not a negative signal — consistent with routine executive liquidity management under a pre-established plan.</w:t>
            </w:r>
          </w:p>
        </w:tc>
      </w:tr>
    </w:tbl>
    <w:p>
      <w:r>
        <w:rPr>
          <w:rFonts w:ascii="Calibri" w:hAnsi="Calibri"/>
          <w:i/>
          <w:color w:val="525866"/>
          <w:sz w:val="22"/>
        </w:rPr>
        <w:t>Source: SEC Form 4 Filings Database (Insider Transaction Data). Open-market buy/sell transactions (Form 4 codes P/S) and 10b5-1 plan disclosures only. Period covered: May 5 – August 4, 2026.</w:t>
      </w:r>
    </w:p>
    <w:p>
      <w:r>
        <w:rPr>
          <w:rFonts w:ascii="Calibri" w:hAnsi="Calibri"/>
          <w:b/>
          <w:color w:val="525866"/>
          <w:sz w:val="22"/>
        </w:rPr>
        <w:t xml:space="preserve">Additional Context: </w:t>
      </w:r>
      <w:r>
        <w:rPr>
          <w:rFonts w:ascii="Calibri" w:hAnsi="Calibri"/>
          <w:color w:val="525866"/>
          <w:sz w:val="22"/>
        </w:rPr>
        <w:t>Horizon Kinetics’ daily buying program has been in place continuously since at least early May 2026, with purchases on virtually every trading day. The firm’s total position of ~3.24M shares represents approximately 10% of TPL’s outstanding shares. Following the passing of founder Murray Stahl (acknowledged on the Q1 2026 earnings call), Horizon Kinetics co-CEO Peter Doyle was appointed to TPL’s board on May 6, 2026, and the firm’s buying program has continued uninterrupted — a clear signal of institutional continuity and conviction. No other insiders (directors, officers) filed open-market purchases or sales during the period beyond the CFO’s pre-planned 10b5-1 sale.</w:t>
      </w:r>
    </w:p>
    <w:p>
      <w:r>
        <w:br w:type="page"/>
      </w:r>
    </w:p>
    <w:p>
      <w:pPr>
        <w:pStyle w:val="Heading1"/>
        <w:pBdr>
          <w:bottom w:val="single" w:sz="4" w:space="1" w:color="FB9120"/>
        </w:pBdr>
      </w:pPr>
      <w:r>
        <w:rPr>
          <w:rFonts w:ascii="Calibri" w:hAnsi="Calibri"/>
          <w:b/>
          <w:color w:val="3B4259"/>
          <w:sz w:val="40"/>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actuals, and revision history (Total Revenue, EPS, Royalty Production, Water Sales, Produced Water Royalties, EBITDA, Free Cash Flow). Source: https://insights.visiblealpha.com/mex/TPL_US/NMV/</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TPL, XOP, SPY daily closing prices May 6 – August 5, 2026. Used for stock performance section and indexed return calculations.</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Insider transaction data for TPL, May 5 – August 4, 2026. Source: https://www.sec.gov/</w:t>
      </w:r>
    </w:p>
    <w:p>
      <w:pPr>
        <w:pStyle w:val="ListBullet"/>
        <w:ind w:left="360" w:hanging="360"/>
      </w:pPr>
      <w:r>
        <w:rPr>
          <w:rFonts w:ascii="Calibri" w:hAnsi="Calibri"/>
          <w:b/>
          <w:color w:val="525866"/>
          <w:sz w:val="22"/>
        </w:rPr>
        <w:t>TPL Q1 2026 Earnings Call Transcript (May 7, 2026)</w:t>
      </w:r>
      <w:r>
        <w:rPr>
          <w:rFonts w:ascii="Calibri" w:hAnsi="Calibri"/>
          <w:color w:val="525866"/>
          <w:sz w:val="22"/>
        </w:rPr>
        <w:t xml:space="preserve"> — Management guidance, tone, and KPI commentary. Source: documents/TPL/transcript/earnings/2026Q1/</w:t>
      </w:r>
    </w:p>
    <w:p>
      <w:pPr>
        <w:pStyle w:val="ListBullet"/>
        <w:ind w:left="360" w:hanging="360"/>
      </w:pPr>
      <w:r>
        <w:rPr>
          <w:rFonts w:ascii="Calibri" w:hAnsi="Calibri"/>
          <w:b/>
          <w:color w:val="525866"/>
          <w:sz w:val="22"/>
        </w:rPr>
        <w:t>TPL 8-K — Chevron Project Kilby Agreement (June 23, 2026)</w:t>
      </w:r>
      <w:r>
        <w:rPr>
          <w:rFonts w:ascii="Calibri" w:hAnsi="Calibri"/>
          <w:color w:val="525866"/>
          <w:sz w:val="22"/>
        </w:rPr>
        <w:t xml:space="preserve"> — Land and water supply agreement details. Source: documents/TPL/8K/000181107426000045/</w:t>
      </w:r>
    </w:p>
    <w:p>
      <w:pPr>
        <w:pStyle w:val="ListBullet"/>
        <w:ind w:left="360" w:hanging="360"/>
      </w:pPr>
      <w:r>
        <w:rPr>
          <w:rFonts w:ascii="Calibri" w:hAnsi="Calibri"/>
          <w:b/>
          <w:color w:val="525866"/>
          <w:sz w:val="22"/>
        </w:rPr>
        <w:t>TPL 8-K EX-99.1 — Investor Day Presentation (May 18, 2026)</w:t>
      </w:r>
      <w:r>
        <w:rPr>
          <w:rFonts w:ascii="Calibri" w:hAnsi="Calibri"/>
          <w:color w:val="525866"/>
          <w:sz w:val="22"/>
        </w:rPr>
        <w:t xml:space="preserve"> — Water segment capital allocation, desalination facility details, Bolt Data &amp; Energy update. Source: documents/TPL/8K/000181107426000040/</w:t>
      </w:r>
    </w:p>
    <w:p>
      <w:pPr>
        <w:pStyle w:val="ListBullet"/>
        <w:ind w:left="360" w:hanging="360"/>
      </w:pPr>
      <w:r>
        <w:rPr>
          <w:rFonts w:ascii="Calibri" w:hAnsi="Calibri"/>
          <w:b/>
          <w:color w:val="525866"/>
          <w:sz w:val="22"/>
        </w:rPr>
        <w:t>Diamondback Energy (FANG) Q2 2026 Earnings Release (August 3, 2026)</w:t>
      </w:r>
      <w:r>
        <w:rPr>
          <w:rFonts w:ascii="Calibri" w:hAnsi="Calibri"/>
          <w:color w:val="525866"/>
          <w:sz w:val="22"/>
        </w:rPr>
        <w:t xml:space="preserve"> — Permian production, completions, realized oil prices. Source: documents/FANG/Earnings Release/2026Q2/</w:t>
      </w:r>
    </w:p>
    <w:p>
      <w:pPr>
        <w:pStyle w:val="ListBullet"/>
        <w:ind w:left="360" w:hanging="360"/>
      </w:pPr>
      <w:r>
        <w:rPr>
          <w:rFonts w:ascii="Calibri" w:hAnsi="Calibri"/>
          <w:b/>
          <w:color w:val="525866"/>
          <w:sz w:val="22"/>
        </w:rPr>
        <w:t>Diamondback Energy (FANG) Q2 2026 Earnings Call Transcript (August 4, 2026)</w:t>
      </w:r>
      <w:r>
        <w:rPr>
          <w:rFonts w:ascii="Calibri" w:hAnsi="Calibri"/>
          <w:color w:val="525866"/>
          <w:sz w:val="22"/>
        </w:rPr>
        <w:t xml:space="preserve"> — Water constraints, data center commentary, macro outlook. Source: documents/FANG/transcript/earnings/2026Q2/</w:t>
      </w:r>
    </w:p>
    <w:p>
      <w:pPr>
        <w:pStyle w:val="ListBullet"/>
        <w:ind w:left="360" w:hanging="360"/>
      </w:pPr>
      <w:r>
        <w:rPr>
          <w:rFonts w:ascii="Calibri" w:hAnsi="Calibri"/>
          <w:b/>
          <w:color w:val="525866"/>
          <w:sz w:val="22"/>
        </w:rPr>
        <w:t>Matador Resources (MTDR) 8-K (July 22–23, 2026)</w:t>
      </w:r>
      <w:r>
        <w:rPr>
          <w:rFonts w:ascii="Calibri" w:hAnsi="Calibri"/>
          <w:color w:val="525866"/>
          <w:sz w:val="22"/>
        </w:rPr>
        <w:t xml:space="preserve"> — Paloma and Ridge Runner acquisition details. Source: documents/MTDR/8K/000110465926086469/</w:t>
      </w:r>
    </w:p>
    <w:p>
      <w:pPr>
        <w:pStyle w:val="ListBullet"/>
        <w:ind w:left="360" w:hanging="360"/>
      </w:pPr>
      <w:r>
        <w:rPr>
          <w:rFonts w:ascii="Calibri" w:hAnsi="Calibri"/>
          <w:b/>
          <w:color w:val="525866"/>
          <w:sz w:val="22"/>
        </w:rPr>
        <w:t>Occidental Petroleum (OXY) — Q2 2026 Realized Oil Prices (July 10, 2026)</w:t>
      </w:r>
      <w:r>
        <w:rPr>
          <w:rFonts w:ascii="Calibri" w:hAnsi="Calibri"/>
          <w:color w:val="525866"/>
          <w:sz w:val="22"/>
        </w:rPr>
        <w:t xml:space="preserve"> — Permian realized price data. Source: public news / OXY 8-K.</w:t>
      </w:r>
    </w:p>
    <w:p>
      <w:pPr>
        <w:pStyle w:val="ListBullet"/>
        <w:ind w:left="360" w:hanging="360"/>
      </w:pPr>
      <w:r>
        <w:rPr>
          <w:rFonts w:ascii="Calibri" w:hAnsi="Calibri"/>
          <w:b/>
          <w:color w:val="525866"/>
          <w:sz w:val="22"/>
        </w:rPr>
        <w:t>Stock Performance Decomposition Data</w:t>
      </w:r>
      <w:r>
        <w:rPr>
          <w:rFonts w:ascii="Calibri" w:hAnsi="Calibri"/>
          <w:color w:val="525866"/>
          <w:sz w:val="22"/>
        </w:rPr>
        <w:t xml:space="preserve"> — NTM valuation multiples (EV/EBITDA, P/E, P/FCF, EV/Sales, P/Sales, P/Book) as of August 4, 2026 and historical horizons.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