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gp-earnings-predictions--2026-08-06"/>
    <w:p>
      <w:pPr>
        <w:pStyle w:val="Heading1"/>
      </w:pPr>
      <w:r>
        <w:t xml:space="preserve">TRGP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Permian inlet volumes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~7,000 MMcf/d vs. cons ~6,850 MMcf/d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LPG export volumes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~465 MBbl/d vs. cons ~445 MBbl/d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5.95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/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growth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Waha marketing/optimization margin durability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150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H</m:t>
              </m:r>
              <m:r>
                <m:t>2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50M modeled (H2'26)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returns (buyback pace)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100</m:t>
              </m:r>
              <m:r>
                <m:t>M</m:t>
              </m:r>
              <m:r>
                <m:t>r</m:t>
              </m:r>
              <m:r>
                <m:t>e</m:t>
              </m:r>
              <m:r>
                <m:t>p</m:t>
              </m:r>
              <m:r>
                <m:t>u</m:t>
              </m:r>
              <m:r>
                <m:t>r</m:t>
              </m:r>
              <m:r>
                <m:t>c</m:t>
              </m:r>
              <m:r>
                <m:t>h</m:t>
              </m:r>
              <m:r>
                <m:t>a</m:t>
              </m:r>
              <m:r>
                <m:t>s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150M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A beat-and-raise print into a stock already down ~9% from its late-July peak (~</w:t>
            </w:r>
            <m:oMath>
              <m:r>
                <m:t>286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260) means expectations have partially reset, supporting a positive but not euphoric day-1 pop. Follow-through is capped because the debate shifts to how much of the 2026 Waha marketing/export windfall is repeatable into 2027 as Blackcomb/GCX egress relieves basis; out-period math (implicit fade of optimization margin) offsets the near-term beat, so the residual holds rather than compounds. Elevated 2026-2028 capex is also a FCF overhang limiting sustained multiple expansion.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2026-08-06T00:40:41Z</dcterms:created>
  <dcterms:modified xsi:type="dcterms:W3CDTF">2026-08-06T00:40:41Z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