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TRGP (Targa Resources) to build a well-informed earnings preview. Let me start by gathering recent filings, transcripts, and news.Let me read the most recent earnings materials (2026Q1) and the prior year Q2 for comparison.Now let me get the year-ago Q2 2025 comparison figures and recent stock price data.Let me check recent news for Waha/Permian context and any TRGP-specific developments ahead of the print.I now have what I need. Let me write the earnings preview.</w:t>
      </w:r>
    </w:p>
    <w:bookmarkStart w:id="19" w:name="X211d7d9584464266713a36b7526916dbb97ac70"/>
    <w:p>
      <w:pPr>
        <w:pStyle w:val="Heading1"/>
      </w:pPr>
      <w:r>
        <w:t xml:space="preserve">TRGP (Targa Resources) — Q2 2026 Earnings Preview</w:t>
      </w:r>
    </w:p>
    <w:bookmarkStart w:id="9" w:name="X351e9ac81dc7ec3c118841e78fff8d37fe82512"/>
    <w:p>
      <w:pPr>
        <w:pStyle w:val="Heading3"/>
      </w:pPr>
      <w:r>
        <w:t xml:space="preserve">Report expected Wednesday, August 6, 2026 (before market open) · Conference call to follow</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Targa heads into Q2 as a business firing on nearly every cylinder — record volumes rippling through an integrated "wellhead-to-water" system, a wide-open Waha marketing opportunity, and an LPG export book getting an extra kicker from the Iran conflict. The bar, however, is high: management already raised full-year guidance in May, the stock is up ~39% YTD, and expectations for another beat-and-raise are baked in.</w:t>
      </w:r>
    </w:p>
    <w:p>
      <w:r>
        <w:pict>
          <v:rect style="width:0;height:1.5pt" o:hralign="center" o:hrstd="t" o:hr="t"/>
        </w:pict>
      </w:r>
    </w:p>
    <w:bookmarkEnd w:id="10"/>
    <w:bookmarkStart w:id="11" w:name="X4cdfcb9929ceecbb8305755e135b5273ed42e0c"/>
    <w:p>
      <w:pPr>
        <w:pStyle w:val="Heading2"/>
      </w:pPr>
      <w:r>
        <w:t xml:space="preserve">1. What management already told us about Q2</w:t>
      </w:r>
    </w:p>
    <w:p>
      <w:pPr>
        <w:pStyle w:val="FirstParagraph"/>
      </w:pPr>
      <w:r>
        <w:t xml:space="preserve">This is the most important context. On the Q1 call (May 7) and in the Q1 release, Targa gave unusually specific forward color:</w:t>
      </w:r>
    </w:p>
    <w:p>
      <w:pPr>
        <w:pStyle w:val="Compact"/>
        <w:numPr>
          <w:ilvl w:val="0"/>
          <w:numId w:val="1001"/>
        </w:numPr>
      </w:pPr>
      <w:r>
        <w:rPr>
          <w:b/>
          <w:bCs/>
        </w:rPr>
        <w:t xml:space="preserve">Volumes are ramping hard.</w:t>
      </w:r>
      <w:r>
        <w:t xml:space="preserve"> </w:t>
      </w:r>
      <w:r>
        <w:t xml:space="preserve">Permian inlet was said to be running</w:t>
      </w:r>
      <w:r>
        <w:t xml:space="preserve"> </w:t>
      </w:r>
      <w:r>
        <w:rPr>
          <w:b/>
          <w:bCs/>
        </w:rPr>
        <w:t xml:space="preserve">~250 MMcf/d above the Q1 average</w:t>
      </w:r>
      <w:r>
        <w:t xml:space="preserve">, and the release explicitly stated Q2 Permian inlet was "trending significantly higher" than Q1's record 6,730 MMcf/d —</w:t>
      </w:r>
      <w:r>
        <w:t xml:space="preserve"> </w:t>
      </w:r>
      <w:r>
        <w:rPr>
          <w:i/>
          <w:iCs/>
        </w:rPr>
        <w:t xml:space="preserve">even with</w:t>
      </w:r>
      <w:r>
        <w:t xml:space="preserve"> </w:t>
      </w:r>
      <w:r>
        <w:t xml:space="preserve">200–400 MMcf/d of gas being temporarily shut in on any given day due to weak Waha prices.</w:t>
      </w:r>
    </w:p>
    <w:p>
      <w:pPr>
        <w:pStyle w:val="Compact"/>
        <w:numPr>
          <w:ilvl w:val="0"/>
          <w:numId w:val="1001"/>
        </w:numPr>
      </w:pPr>
      <w:r>
        <w:rPr>
          <w:b/>
          <w:bCs/>
        </w:rPr>
        <w:t xml:space="preserve">Record LPG exports are expected.</w:t>
      </w:r>
      <w:r>
        <w:t xml:space="preserve"> </w:t>
      </w:r>
      <w:r>
        <w:t xml:space="preserve">Management said additional butane/spot contracts secured across the year "will drive</w:t>
      </w:r>
      <w:r>
        <w:t xml:space="preserve"> </w:t>
      </w:r>
      <w:r>
        <w:rPr>
          <w:b/>
          <w:bCs/>
        </w:rPr>
        <w:t xml:space="preserve">record Targa loadings in the second quarter</w:t>
      </w:r>
      <w:r>
        <w:t xml:space="preserve">" — a recovery from Q1's 13.1 MM bbl/month, which was dinged by an unplanned dock outage that spilled into early Q2.</w:t>
      </w:r>
    </w:p>
    <w:p>
      <w:pPr>
        <w:pStyle w:val="Compact"/>
        <w:numPr>
          <w:ilvl w:val="0"/>
          <w:numId w:val="1001"/>
        </w:numPr>
      </w:pPr>
      <w:r>
        <w:rPr>
          <w:b/>
          <w:bCs/>
        </w:rPr>
        <w:t xml:space="preserve">New projects came online in Q2:</w:t>
      </w:r>
      <w:r>
        <w:t xml:space="preserve"> </w:t>
      </w:r>
      <w:r>
        <w:t xml:space="preserve">Train 11 fractionator (early April) and the Delaware Express NGL pipeline (starting up in May) both add capacity/throughput this quarter.</w:t>
      </w:r>
    </w:p>
    <w:p>
      <w:pPr>
        <w:pStyle w:val="FirstParagraph"/>
      </w:pPr>
      <w:r>
        <w:rPr>
          <w:b/>
          <w:bCs/>
        </w:rPr>
        <w:t xml:space="preserve">Bottom line:</w:t>
      </w:r>
      <w:r>
        <w:t xml:space="preserve"> </w:t>
      </w:r>
      <w:r>
        <w:t xml:space="preserve">Sequential growth in Q2 should be visible across G&amp;P inlet, NGL transportation, fractionation, and exports.</w:t>
      </w:r>
    </w:p>
    <w:p>
      <w:r>
        <w:pict>
          <v:rect style="width:0;height:1.5pt" o:hralign="center" o:hrstd="t" o:hr="t"/>
        </w:pict>
      </w:r>
    </w:p>
    <w:bookmarkEnd w:id="11"/>
    <w:bookmarkStart w:id="12" w:name="Xbb1ea8cbef8c8146e21874390f40fb73e01142e"/>
    <w:p>
      <w:pPr>
        <w:pStyle w:val="Heading2"/>
      </w:pPr>
      <w:r>
        <w:t xml:space="preserve">2. Numbers to frame the quarter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2025 (YoY comp)</w:t>
            </w:r>
          </w:p>
        </w:tc>
        <w:tc>
          <w:tcPr/>
          <w:p>
            <w:pPr>
              <w:pStyle w:val="Compact"/>
            </w:pPr>
            <w:r>
              <w:t xml:space="preserve">Q1 2026 (seq)</w:t>
            </w:r>
          </w:p>
        </w:tc>
        <w:tc>
          <w:tcPr/>
          <w:p>
            <w:pPr>
              <w:pStyle w:val="Compact"/>
            </w:pPr>
            <w:r>
              <w:t xml:space="preserve">Q2 2026 context</w:t>
            </w:r>
          </w:p>
        </w:tc>
      </w:tr>
      <w:tr>
        <w:tc>
          <w:tcPr/>
          <w:p>
            <w:pPr>
              <w:pStyle w:val="Compact"/>
            </w:pPr>
            <w:r>
              <w:t xml:space="preserve">Adjusted EBITDA</w:t>
            </w:r>
          </w:p>
        </w:tc>
        <w:tc>
          <w:tcPr/>
          <w:p>
            <w:pPr>
              <w:pStyle w:val="Compact"/>
            </w:pPr>
            <w:r>
              <w:t xml:space="preserve">$1,163M</w:t>
            </w:r>
          </w:p>
        </w:tc>
        <w:tc>
          <w:tcPr/>
          <w:p>
            <w:pPr>
              <w:pStyle w:val="Compact"/>
            </w:pPr>
            <w:r>
              <w:t xml:space="preserve">$1,403M (record, +19% YoY)</w:t>
            </w:r>
          </w:p>
        </w:tc>
        <w:tc>
          <w:tcPr/>
          <w:p>
            <w:pPr>
              <w:pStyle w:val="Compact"/>
            </w:pPr>
            <w:r>
              <w:t xml:space="preserve">FY guide implies continued sequential build</w:t>
            </w:r>
          </w:p>
        </w:tc>
      </w:tr>
      <w:tr>
        <w:tc>
          <w:tcPr/>
          <w:p>
            <w:pPr>
              <w:pStyle w:val="Compact"/>
            </w:pPr>
            <w:r>
              <w:t xml:space="preserve">Net income (to TRGP)</w:t>
            </w:r>
          </w:p>
        </w:tc>
        <w:tc>
          <w:tcPr/>
          <w:p>
            <w:pPr>
              <w:pStyle w:val="Compact"/>
            </w:pPr>
            <w:r>
              <w:t xml:space="preserve">$629M*</w:t>
            </w:r>
          </w:p>
        </w:tc>
        <w:tc>
          <w:tcPr/>
          <w:p>
            <w:pPr>
              <w:pStyle w:val="Compact"/>
            </w:pPr>
            <w:r>
              <w:t xml:space="preserve">$480M</w:t>
            </w:r>
          </w:p>
        </w:tc>
        <w:tc>
          <w:tcPr/>
          <w:p>
            <w:pPr>
              <w:pStyle w:val="Compact"/>
            </w:pPr>
            <w:r>
              <w:t xml:space="preserve">*Q2'25 flattered by MTM hedge gains</w:t>
            </w:r>
          </w:p>
        </w:tc>
      </w:tr>
      <w:tr>
        <w:tc>
          <w:tcPr/>
          <w:p>
            <w:pPr>
              <w:pStyle w:val="Compact"/>
            </w:pPr>
            <w:r>
              <w:t xml:space="preserve">Permian inlet</w:t>
            </w:r>
          </w:p>
        </w:tc>
        <w:tc>
          <w:tcPr/>
          <w:p>
            <w:pPr>
              <w:pStyle w:val="Compact"/>
            </w:pPr>
            <w:r>
              <w:t xml:space="preserve">6,278 MMcf/d</w:t>
            </w:r>
          </w:p>
        </w:tc>
        <w:tc>
          <w:tcPr/>
          <w:p>
            <w:pPr>
              <w:pStyle w:val="Compact"/>
            </w:pPr>
            <w:r>
              <w:t xml:space="preserve">6,730 MMcf/d</w:t>
            </w:r>
          </w:p>
        </w:tc>
        <w:tc>
          <w:tcPr/>
          <w:p>
            <w:pPr>
              <w:pStyle w:val="Compact"/>
            </w:pPr>
            <w:r>
              <w:t xml:space="preserve">Trending "significantly higher"</w:t>
            </w:r>
          </w:p>
        </w:tc>
      </w:tr>
      <w:tr>
        <w:tc>
          <w:tcPr/>
          <w:p>
            <w:pPr>
              <w:pStyle w:val="Compact"/>
            </w:pPr>
            <w:r>
              <w:t xml:space="preserve">NGL transport vol.</w:t>
            </w:r>
          </w:p>
        </w:tc>
        <w:tc>
          <w:tcPr/>
          <w:p>
            <w:pPr>
              <w:pStyle w:val="Compact"/>
            </w:pPr>
            <w:r>
              <w:t xml:space="preserve">961 MBbl/d</w:t>
            </w:r>
          </w:p>
        </w:tc>
        <w:tc>
          <w:tcPr/>
          <w:p>
            <w:pPr>
              <w:pStyle w:val="Compact"/>
            </w:pPr>
            <w:r>
              <w:t xml:space="preserve">1,017 MBbl/d</w:t>
            </w:r>
          </w:p>
        </w:tc>
        <w:tc>
          <w:tcPr/>
          <w:p>
            <w:pPr>
              <w:pStyle w:val="Compact"/>
            </w:pPr>
            <w:r>
              <w:t xml:space="preserve">Delaware Express ramp</w:t>
            </w:r>
          </w:p>
        </w:tc>
      </w:tr>
      <w:tr>
        <w:tc>
          <w:tcPr/>
          <w:p>
            <w:pPr>
              <w:pStyle w:val="Compact"/>
            </w:pPr>
            <w:r>
              <w:t xml:space="preserve">Fractionation vol.</w:t>
            </w:r>
          </w:p>
        </w:tc>
        <w:tc>
          <w:tcPr/>
          <w:p>
            <w:pPr>
              <w:pStyle w:val="Compact"/>
            </w:pPr>
            <w:r>
              <w:t xml:space="preserve">969 MBbl/d</w:t>
            </w:r>
          </w:p>
        </w:tc>
        <w:tc>
          <w:tcPr/>
          <w:p>
            <w:pPr>
              <w:pStyle w:val="Compact"/>
            </w:pPr>
            <w:r>
              <w:t xml:space="preserve">1,145 MBbl/d</w:t>
            </w:r>
          </w:p>
        </w:tc>
        <w:tc>
          <w:tcPr/>
          <w:p>
            <w:pPr>
              <w:pStyle w:val="Compact"/>
            </w:pPr>
            <w:r>
              <w:t xml:space="preserve">Train 11 now online</w:t>
            </w:r>
          </w:p>
        </w:tc>
      </w:tr>
      <w:tr>
        <w:tc>
          <w:tcPr/>
          <w:p>
            <w:pPr>
              <w:pStyle w:val="Compact"/>
            </w:pPr>
            <w:r>
              <w:t xml:space="preserve">Export vol.</w:t>
            </w:r>
          </w:p>
        </w:tc>
        <w:tc>
          <w:tcPr/>
          <w:p>
            <w:pPr>
              <w:pStyle w:val="Compact"/>
            </w:pPr>
            <w:r>
              <w:t xml:space="preserve">423 MBbl/d</w:t>
            </w:r>
          </w:p>
        </w:tc>
        <w:tc>
          <w:tcPr/>
          <w:p>
            <w:pPr>
              <w:pStyle w:val="Compact"/>
            </w:pPr>
            <w:r>
              <w:t xml:space="preserve">437 MBbl/d</w:t>
            </w:r>
          </w:p>
        </w:tc>
        <w:tc>
          <w:tcPr/>
          <w:p>
            <w:pPr>
              <w:pStyle w:val="Compact"/>
            </w:pPr>
            <w:r>
              <w:t xml:space="preserve">Record loadings guided</w:t>
            </w:r>
          </w:p>
        </w:tc>
      </w:tr>
    </w:tbl>
    <w:p>
      <w:pPr>
        <w:pStyle w:val="BodyText"/>
      </w:pPr>
      <w:r>
        <w:rPr>
          <w:b/>
          <w:bCs/>
        </w:rPr>
        <w:t xml:space="preserve">Key math on guidance:</w:t>
      </w:r>
      <w:r>
        <w:t xml:space="preserve"> </w:t>
      </w:r>
      <w:r>
        <w:t xml:space="preserve">FY2026 adjusted EBITDA is guided to</w:t>
      </w:r>
      <w:r>
        <w:t xml:space="preserve"> </w:t>
      </w:r>
      <w:r>
        <w:rPr>
          <w:b/>
          <w:bCs/>
        </w:rPr>
        <w:t xml:space="preserve">$5.7–5.9B</w:t>
      </w:r>
      <w:r>
        <w:t xml:space="preserve"> </w:t>
      </w:r>
      <w:r>
        <w:t xml:space="preserve">(midpoint $5.8B, +17% YoY). With Q1 already at</w:t>
      </w:r>
      <w:r>
        <w:t xml:space="preserve"> </w:t>
      </w:r>
      <m:oMath>
        <m:r>
          <m:t>1.403</m:t>
        </m:r>
        <m:r>
          <m:t>B</m:t>
        </m:r>
        <m:r>
          <m:rPr>
            <m:sty m:val="p"/>
          </m:rPr>
          <m:t>,</m:t>
        </m:r>
        <m:r>
          <m:t>r</m:t>
        </m:r>
        <m:r>
          <m:t>o</m:t>
        </m:r>
        <m:r>
          <m:t>u</m:t>
        </m:r>
        <m:r>
          <m:t>g</m:t>
        </m:r>
        <m:r>
          <m:t>h</m:t>
        </m:r>
        <m:r>
          <m:t>l</m:t>
        </m:r>
        <m:r>
          <m:t>y</m:t>
        </m:r>
        <m:r>
          <m:rPr>
            <m:sty m:val="p"/>
          </m:rPr>
          <m:t>*</m:t>
        </m:r>
        <m:r>
          <m:rPr>
            <m:sty m:val="p"/>
          </m:rPr>
          <m:t>*</m:t>
        </m:r>
      </m:oMath>
      <w:r>
        <w:t xml:space="preserve">4.4B remains across Q2–Q4 (~</w:t>
      </w:r>
      <m:oMath>
        <m:r>
          <m:t>1.47</m:t>
        </m:r>
        <m:r>
          <m:t>B</m:t>
        </m:r>
        <m:r>
          <m:rPr>
            <m:sty m:val="p"/>
          </m:rPr>
          <m:t>/</m:t>
        </m:r>
        <m:r>
          <m:t>q</m:t>
        </m:r>
        <m:r>
          <m:t>u</m:t>
        </m:r>
        <m:r>
          <m:t>a</m:t>
        </m:r>
        <m:r>
          <m:t>r</m:t>
        </m:r>
        <m:r>
          <m:t>t</m:t>
        </m:r>
        <m:r>
          <m:t>e</m:t>
        </m:r>
        <m:r>
          <m:t>r</m:t>
        </m:r>
        <m:r>
          <m:rPr>
            <m:sty m:val="p"/>
          </m:rPr>
          <m:t>)</m:t>
        </m:r>
        <m:r>
          <m:rPr>
            <m:sty m:val="p"/>
          </m:rPr>
          <m:t>*</m:t>
        </m:r>
        <m:r>
          <m:rPr>
            <m:sty m:val="p"/>
          </m:rPr>
          <m:t>*</m:t>
        </m:r>
        <m:r>
          <m:rPr>
            <m:sty m:val="p"/>
          </m:rPr>
          <m:t>.</m:t>
        </m:r>
        <m:r>
          <m:t>G</m:t>
        </m:r>
        <m:r>
          <m:t>i</m:t>
        </m:r>
        <m:r>
          <m:t>v</m:t>
        </m:r>
        <m:r>
          <m:t>e</m:t>
        </m:r>
        <m:r>
          <m:t>n</m:t>
        </m:r>
        <m:r>
          <m:t>t</m:t>
        </m:r>
        <m:r>
          <m:t>h</m:t>
        </m:r>
        <m:r>
          <m:t>e</m:t>
        </m:r>
        <m:r>
          <m:t>v</m:t>
        </m:r>
        <m:r>
          <m:t>o</m:t>
        </m:r>
        <m:r>
          <m:t>l</m:t>
        </m:r>
        <m:r>
          <m:t>u</m:t>
        </m:r>
        <m:r>
          <m:t>m</m:t>
        </m:r>
        <m:r>
          <m:t>e</m:t>
        </m:r>
        <m:r>
          <m:t>r</m:t>
        </m:r>
        <m:r>
          <m:t>a</m:t>
        </m:r>
        <m:r>
          <m:t>m</m:t>
        </m:r>
        <m:r>
          <m:t>p</m:t>
        </m:r>
        <m:r>
          <m:t>w</m:t>
        </m:r>
        <m:r>
          <m:t>e</m:t>
        </m:r>
        <m:r>
          <m:t>i</m:t>
        </m:r>
        <m:r>
          <m:t>g</m:t>
        </m:r>
        <m:r>
          <m:t>h</m:t>
        </m:r>
        <m:r>
          <m:t>t</m:t>
        </m:r>
        <m:r>
          <m:t>i</m:t>
        </m:r>
        <m:r>
          <m:t>n</m:t>
        </m:r>
        <m:r>
          <m:t>g</m:t>
        </m:r>
        <m:r>
          <m:t>t</m:t>
        </m:r>
        <m:r>
          <m:t>o</m:t>
        </m:r>
        <m:r>
          <m:t>t</m:t>
        </m:r>
        <m:r>
          <m:t>h</m:t>
        </m:r>
        <m:r>
          <m:t>e</m:t>
        </m:r>
        <m:r>
          <m:t>b</m:t>
        </m:r>
        <m:r>
          <m:t>a</m:t>
        </m:r>
        <m:r>
          <m:t>c</m:t>
        </m:r>
        <m:r>
          <m:t>k</m:t>
        </m:r>
        <m:r>
          <m:t>h</m:t>
        </m:r>
        <m:r>
          <m:t>a</m:t>
        </m:r>
        <m:r>
          <m:t>l</m:t>
        </m:r>
        <m:r>
          <m:t>f</m:t>
        </m:r>
        <m:r>
          <m:rPr>
            <m:sty m:val="p"/>
          </m:rPr>
          <m:t>,</m:t>
        </m:r>
        <m:r>
          <m:t>a</m:t>
        </m:r>
        <m:r>
          <m:t>Q</m:t>
        </m:r>
        <m:r>
          <m:t>2</m:t>
        </m:r>
        <m:r>
          <m:t>p</m:t>
        </m:r>
        <m:r>
          <m:t>r</m:t>
        </m:r>
        <m:r>
          <m:t>i</m:t>
        </m:r>
        <m:r>
          <m:t>n</m:t>
        </m:r>
        <m:r>
          <m:t>t</m:t>
        </m:r>
        <m:r>
          <m:t>s</m:t>
        </m:r>
        <m:r>
          <m:t>o</m:t>
        </m:r>
        <m:r>
          <m:t>m</m:t>
        </m:r>
        <m:r>
          <m:t>e</m:t>
        </m:r>
        <m:r>
          <m:t>w</m:t>
        </m:r>
        <m:r>
          <m:t>h</m:t>
        </m:r>
        <m:r>
          <m:t>e</m:t>
        </m:r>
        <m:r>
          <m:t>r</m:t>
        </m:r>
        <m:r>
          <m:t>e</m:t>
        </m:r>
        <m:r>
          <m:t>i</m:t>
        </m:r>
        <m:r>
          <m:t>n</m:t>
        </m:r>
        <m:r>
          <m:t>t</m:t>
        </m:r>
        <m:r>
          <m:t>h</m:t>
        </m:r>
        <m:r>
          <m:t>e</m:t>
        </m:r>
        <m:r>
          <m:rPr>
            <m:sty m:val="p"/>
          </m:rPr>
          <m:t>*</m:t>
        </m:r>
        <m:r>
          <m:rPr>
            <m:sty m:val="p"/>
          </m:rPr>
          <m:t>*</m:t>
        </m:r>
        <m:r>
          <m:t> </m:t>
        </m:r>
      </m:oMath>
      <w:r>
        <w:t xml:space="preserve">1.4–1.5B** zone would keep the year comfortably on track — and would represent</w:t>
      </w:r>
      <w:r>
        <w:t xml:space="preserve"> </w:t>
      </w:r>
      <w:r>
        <w:rPr>
          <w:b/>
          <w:bCs/>
        </w:rPr>
        <w:t xml:space="preserve">+20–30% YoY</w:t>
      </w:r>
      <w:r>
        <w:t xml:space="preserve"> </w:t>
      </w:r>
      <w:r>
        <w:t xml:space="preserve">against last year's $1.163B (which was itself depressed by a Mont Belvieu frac turnaround). Watch whether they beat this run-rate.</w:t>
      </w:r>
    </w:p>
    <w:p>
      <w:pPr>
        <w:pStyle w:val="BodyText"/>
      </w:pPr>
      <w:r>
        <w:rPr>
          <w:i/>
          <w:iCs/>
        </w:rPr>
        <w:t xml:space="preserve">Note on the year-ago comp:</w:t>
      </w:r>
      <w:r>
        <w:t xml:space="preserve"> </w:t>
      </w:r>
      <w:r>
        <w:t xml:space="preserve">Q2 2025 GAAP net income (</w:t>
      </w:r>
      <m:oMath>
        <m:r>
          <m:t>629</m:t>
        </m:r>
        <m:r>
          <m:t>M</m:t>
        </m:r>
        <m:r>
          <m:rPr>
            <m:sty m:val="p"/>
          </m:rPr>
          <m:t>)</m:t>
        </m:r>
        <m:r>
          <m:t>w</m:t>
        </m:r>
        <m:r>
          <m:t>a</m:t>
        </m:r>
        <m:r>
          <m:t>s</m:t>
        </m:r>
        <m:r>
          <m:t>b</m:t>
        </m:r>
        <m:r>
          <m:t>o</m:t>
        </m:r>
        <m:r>
          <m:t>o</m:t>
        </m:r>
        <m:r>
          <m:t>s</m:t>
        </m:r>
        <m:r>
          <m:t>t</m:t>
        </m:r>
        <m:r>
          <m:t>e</m:t>
        </m:r>
        <m:r>
          <m:t>d</m:t>
        </m:r>
        <m:r>
          <m:t>b</m:t>
        </m:r>
        <m:r>
          <m:t>y</m:t>
        </m:r>
        <m:r>
          <m:t>a</m:t>
        </m:r>
        <m:r>
          <m:t>l</m:t>
        </m:r>
        <m:r>
          <m:t>a</m:t>
        </m:r>
        <m:r>
          <m:t>r</m:t>
        </m:r>
        <m:r>
          <m:t>g</m:t>
        </m:r>
        <m:r>
          <m:t>e</m:t>
        </m:r>
        <m:r>
          <m:t>n</m:t>
        </m:r>
        <m:r>
          <m:t>o</m:t>
        </m:r>
        <m:r>
          <m:t>n</m:t>
        </m:r>
        <m:r>
          <m:rPr>
            <m:sty m:val="p"/>
          </m:rPr>
          <m:t>−</m:t>
        </m:r>
        <m:r>
          <m:t>c</m:t>
        </m:r>
        <m:r>
          <m:t>a</m:t>
        </m:r>
        <m:r>
          <m:t>s</m:t>
        </m:r>
        <m:r>
          <m:t>h</m:t>
        </m:r>
        <m:r>
          <m:t>m</m:t>
        </m:r>
        <m:r>
          <m:t>a</m:t>
        </m:r>
        <m:r>
          <m:t>r</m:t>
        </m:r>
        <m:r>
          <m:t>k</m:t>
        </m:r>
        <m:r>
          <m:rPr>
            <m:sty m:val="p"/>
          </m:rPr>
          <m:t>−</m:t>
        </m:r>
        <m:r>
          <m:t>t</m:t>
        </m:r>
        <m:r>
          <m:t>o</m:t>
        </m:r>
        <m:r>
          <m:rPr>
            <m:sty m:val="p"/>
          </m:rPr>
          <m:t>−</m:t>
        </m:r>
        <m:r>
          <m:t>m</m:t>
        </m:r>
        <m:r>
          <m:t>a</m:t>
        </m:r>
        <m:r>
          <m:t>r</m:t>
        </m:r>
        <m:r>
          <m:t>k</m:t>
        </m:r>
        <m:r>
          <m:t>e</m:t>
        </m:r>
        <m:r>
          <m:t>t</m:t>
        </m:r>
        <m:r>
          <m:t>h</m:t>
        </m:r>
        <m:r>
          <m:t>e</m:t>
        </m:r>
        <m:r>
          <m:t>d</m:t>
        </m:r>
        <m:r>
          <m:t>g</m:t>
        </m:r>
        <m:r>
          <m:t>e</m:t>
        </m:r>
        <m:r>
          <m:t>g</m:t>
        </m:r>
        <m:r>
          <m:t>a</m:t>
        </m:r>
        <m:r>
          <m:t>i</m:t>
        </m:r>
        <m:r>
          <m:t>n</m:t>
        </m:r>
        <m:r>
          <m:rPr>
            <m:sty m:val="p"/>
          </m:rPr>
          <m:t>(</m:t>
        </m:r>
        <m:r>
          <m:t> </m:t>
        </m:r>
      </m:oMath>
      <w:r>
        <w:t xml:space="preserve">280M in "risk management" reversed out of adjusted EBITDA). Focus on</w:t>
      </w:r>
      <w:r>
        <w:t xml:space="preserve"> </w:t>
      </w:r>
      <w:r>
        <w:rPr>
          <w:b/>
          <w:bCs/>
        </w:rPr>
        <w:t xml:space="preserve">adjusted EBITDA</w:t>
      </w:r>
      <w:r>
        <w:t xml:space="preserve">, not headline net income, for the YoY comparison.</w:t>
      </w:r>
    </w:p>
    <w:p>
      <w:r>
        <w:pict>
          <v:rect style="width:0;height:1.5pt" o:hralign="center" o:hrstd="t" o:hr="t"/>
        </w:pict>
      </w:r>
    </w:p>
    <w:bookmarkEnd w:id="12"/>
    <w:bookmarkStart w:id="13" w:name="X9df807ee92f280f91b9e50f63c3ecaeb72c36b3"/>
    <w:p>
      <w:pPr>
        <w:pStyle w:val="Heading2"/>
      </w:pPr>
      <w:r>
        <w:t xml:space="preserve">3. The three swing factors for the print</w:t>
      </w:r>
    </w:p>
    <w:p>
      <w:pPr>
        <w:pStyle w:val="FirstParagraph"/>
      </w:pPr>
      <w:r>
        <w:rPr>
          <w:b/>
          <w:bCs/>
        </w:rPr>
        <w:t xml:space="preserve">(a) Waha marketing / optimization — the biggest wildcard.</w:t>
      </w:r>
      <w:r>
        <w:t xml:space="preserve"> </w:t>
      </w:r>
      <w:r>
        <w:t xml:space="preserve">Weak, volatile Waha gas prices are painful for producers but a</w:t>
      </w:r>
      <w:r>
        <w:t xml:space="preserve"> </w:t>
      </w:r>
      <w:r>
        <w:rPr>
          <w:b/>
          <w:bCs/>
        </w:rPr>
        <w:t xml:space="preserve">tailwind for Targa's marketing desk</w:t>
      </w:r>
      <w:r>
        <w:t xml:space="preserve">, which monetizes its transport capacity and basis positions. Management flagged that marketing gains drove much of the May guidance raise and that they only baked in "modest" assumptions for H2. Jen Kneale expects marketing opportunities to persist</w:t>
      </w:r>
      <w:r>
        <w:t xml:space="preserve"> </w:t>
      </w:r>
      <w:r>
        <w:rPr>
          <w:b/>
          <w:bCs/>
        </w:rPr>
        <w:t xml:space="preserve">until later this year when incremental Permian egress arrives</w:t>
      </w:r>
      <w:r>
        <w:t xml:space="preserve"> </w:t>
      </w:r>
      <w:r>
        <w:t xml:space="preserve">(GCX expansion, then Blackcomb in Q4 2026). Q2 sat squarely in that tight window — so</w:t>
      </w:r>
      <w:r>
        <w:t xml:space="preserve"> </w:t>
      </w:r>
      <w:r>
        <w:rPr>
          <w:b/>
          <w:bCs/>
        </w:rPr>
        <w:t xml:space="preserve">optimization margin could again surprise to the upside</w:t>
      </w:r>
      <w:r>
        <w:t xml:space="preserve">. The debate for investors: how much of this is repeatable vs. a 2026-specific windfall that fades as basis collapses in 2027.</w:t>
      </w:r>
    </w:p>
    <w:p>
      <w:pPr>
        <w:pStyle w:val="BodyText"/>
      </w:pPr>
      <w:r>
        <w:rPr>
          <w:b/>
          <w:bCs/>
        </w:rPr>
        <w:t xml:space="preserve">(b) LPG exports + the Iran war.</w:t>
      </w:r>
      <w:r>
        <w:t xml:space="preserve"> </w:t>
      </w:r>
      <w:r>
        <w:t xml:space="preserve">The macro backdrop shifted materially since Q1: an escalating US–Iran conflict has pushed</w:t>
      </w:r>
      <w:r>
        <w:t xml:space="preserve"> </w:t>
      </w:r>
      <w:r>
        <w:rPr>
          <w:b/>
          <w:bCs/>
        </w:rPr>
        <w:t xml:space="preserve">Brent up ~21–24% in July (~$88/bbl)</w:t>
      </w:r>
      <w:r>
        <w:t xml:space="preserve"> </w:t>
      </w:r>
      <w:r>
        <w:t xml:space="preserve">and disrupted Middle East LPG flows, creating an "additional call on butane" that Targa is positioned to fill via co-loading flexibility at Galena Park. Expect commentary on record loadings, incremental spot cargoes, and — importantly —</w:t>
      </w:r>
      <w:r>
        <w:t xml:space="preserve"> </w:t>
      </w:r>
      <w:r>
        <w:rPr>
          <w:b/>
          <w:bCs/>
        </w:rPr>
        <w:t xml:space="preserve">new multi-year contract inbounds</w:t>
      </w:r>
      <w:r>
        <w:t xml:space="preserve"> </w:t>
      </w:r>
      <w:r>
        <w:t xml:space="preserve">("more than I've ever seen"). This is both a near-term margin and a long-term contracting story ahead of the 3Q27 export expansion (capacity moving toward &gt;19 MM bbl/month).</w:t>
      </w:r>
    </w:p>
    <w:p>
      <w:pPr>
        <w:pStyle w:val="BodyText"/>
      </w:pPr>
      <w:r>
        <w:rPr>
          <w:b/>
          <w:bCs/>
        </w:rPr>
        <w:t xml:space="preserve">(c) Volume trajectory &amp; shut-ins.</w:t>
      </w:r>
      <w:r>
        <w:t xml:space="preserve"> </w:t>
      </w:r>
      <w:r>
        <w:t xml:space="preserve">The recurring question: how much shut-in gas comes back, and how fast, once egress opens up late in 2026. Management sounded confident on</w:t>
      </w:r>
      <w:r>
        <w:t xml:space="preserve"> </w:t>
      </w:r>
      <w:r>
        <w:rPr>
          <w:b/>
          <w:bCs/>
        </w:rPr>
        <w:t xml:space="preserve">low-double-digit Permian volume growth for 2026</w:t>
      </w:r>
      <w:r>
        <w:t xml:space="preserve"> </w:t>
      </w:r>
      <w:r>
        <w:t xml:space="preserve">and framed the current shut-ins as a price decision, not a physical constraint (Targa has takeaway). Any read on the "true" underlying volume once Blackcomb relieves the basin in Q4 is a key 2027 setup indicator.</w:t>
      </w:r>
    </w:p>
    <w:p>
      <w:r>
        <w:pict>
          <v:rect style="width:0;height:1.5pt" o:hralign="center" o:hrstd="t" o:hr="t"/>
        </w:pict>
      </w:r>
    </w:p>
    <w:bookmarkEnd w:id="13"/>
    <w:bookmarkStart w:id="14" w:name="X7bf2dbd23c9196437d60de6f361e2f41410a94e"/>
    <w:p>
      <w:pPr>
        <w:pStyle w:val="Heading2"/>
      </w:pPr>
      <w:r>
        <w:t xml:space="preserve">4. Will they raise guidance again?</w:t>
      </w:r>
    </w:p>
    <w:p>
      <w:pPr>
        <w:pStyle w:val="FirstParagraph"/>
      </w:pPr>
      <w:r>
        <w:t xml:space="preserve">Quite possibly. Management characterized the May raise ($300M to midpoint) as still conservative on H2 marketing and export upside, and CEO Meloy pointed to potential upside from (1) further Waha marketing, (2) LPG export spot volumes, and (3) volumes coming back faster than modeled.</w:t>
      </w:r>
      <w:r>
        <w:t xml:space="preserve"> </w:t>
      </w:r>
      <w:r>
        <w:rPr>
          <w:b/>
          <w:bCs/>
        </w:rPr>
        <w:t xml:space="preserve">A second raise — or a reaffirmation with a "trending toward the high end" tone — is the likely bull case.</w:t>
      </w:r>
      <w:r>
        <w:t xml:space="preserve"> </w:t>
      </w:r>
      <w:r>
        <w:t xml:space="preserve">Given the stock's run and elevated expectations, a mere in-line reaffirmation could disappoint.</w:t>
      </w:r>
    </w:p>
    <w:p>
      <w:r>
        <w:pict>
          <v:rect style="width:0;height:1.5pt" o:hralign="center" o:hrstd="t" o:hr="t"/>
        </w:pict>
      </w:r>
    </w:p>
    <w:bookmarkEnd w:id="14"/>
    <w:bookmarkStart w:id="15" w:name="X629838ccb0dd70ac13a739fc1f5b0609b518c62"/>
    <w:p>
      <w:pPr>
        <w:pStyle w:val="Heading2"/>
      </w:pPr>
      <w:r>
        <w:t xml:space="preserve">5. Capital returns &amp; balance sheet</w:t>
      </w:r>
    </w:p>
    <w:p>
      <w:pPr>
        <w:pStyle w:val="Compact"/>
        <w:numPr>
          <w:ilvl w:val="0"/>
          <w:numId w:val="1002"/>
        </w:numPr>
      </w:pPr>
      <w:r>
        <w:rPr>
          <w:b/>
          <w:bCs/>
        </w:rPr>
        <w:t xml:space="preserve">Dividend:</w:t>
      </w:r>
      <w:r>
        <w:t xml:space="preserve"> </w:t>
      </w:r>
      <w:r>
        <w:t xml:space="preserve">$1.25/quarter, up</w:t>
      </w:r>
      <w:r>
        <w:t xml:space="preserve"> </w:t>
      </w:r>
      <w:r>
        <w:rPr>
          <w:b/>
          <w:bCs/>
        </w:rPr>
        <w:t xml:space="preserve">25% YoY</w:t>
      </w:r>
      <w:r>
        <w:t xml:space="preserve">. Watch for any signal on the next increase given rising EBITDA and unchanged capex.</w:t>
      </w:r>
    </w:p>
    <w:p>
      <w:pPr>
        <w:pStyle w:val="Compact"/>
        <w:numPr>
          <w:ilvl w:val="0"/>
          <w:numId w:val="1002"/>
        </w:numPr>
      </w:pPr>
      <w:r>
        <w:rPr>
          <w:b/>
          <w:bCs/>
        </w:rPr>
        <w:t xml:space="preserve">Buybacks:</w:t>
      </w:r>
      <w:r>
        <w:t xml:space="preserve"> </w:t>
      </w:r>
      <w:r>
        <w:t xml:space="preserve">Only</w:t>
      </w:r>
      <w:r>
        <w:t xml:space="preserve"> </w:t>
      </w:r>
      <m:oMath>
        <m:r>
          <m:t>55</m:t>
        </m:r>
        <m:r>
          <m:t>M</m:t>
        </m:r>
        <m:r>
          <m:t>r</m:t>
        </m:r>
        <m:r>
          <m:t>e</m:t>
        </m:r>
        <m:r>
          <m:t>p</m:t>
        </m:r>
        <m:r>
          <m:t>u</m:t>
        </m:r>
        <m:r>
          <m:t>r</m:t>
        </m:r>
        <m:r>
          <m:t>c</m:t>
        </m:r>
        <m:r>
          <m:t>h</m:t>
        </m:r>
        <m:r>
          <m:t>a</m:t>
        </m:r>
        <m:r>
          <m:t>s</m:t>
        </m:r>
        <m:r>
          <m:t>e</m:t>
        </m:r>
        <m:r>
          <m:t>d</m:t>
        </m:r>
        <m:r>
          <m:t>i</m:t>
        </m:r>
        <m:r>
          <m:t>n</m:t>
        </m:r>
        <m:r>
          <m:t>Q</m:t>
        </m:r>
        <m:r>
          <m:t>1</m:t>
        </m:r>
        <m:r>
          <m:rPr>
            <m:sty m:val="p"/>
          </m:rPr>
          <m:t>(</m:t>
        </m:r>
        <m:r>
          <m:t>a</m:t>
        </m:r>
        <m:r>
          <m:t>t</m:t>
        </m:r>
        <m:r>
          <m:t> </m:t>
        </m:r>
      </m:oMath>
      <w:r>
        <w:t xml:space="preserve">241 avg) with</w:t>
      </w:r>
      <w:r>
        <w:t xml:space="preserve"> </w:t>
      </w:r>
      <w:r>
        <w:rPr>
          <w:b/>
          <w:bCs/>
        </w:rPr>
        <w:t xml:space="preserve">$1.32B remaining</w:t>
      </w:r>
      <w:r>
        <w:t xml:space="preserve"> </w:t>
      </w:r>
      <w:r>
        <w:t xml:space="preserve">on authorization — notably lighter than Q2 2025's</w:t>
      </w:r>
      <w:r>
        <w:t xml:space="preserve"> </w:t>
      </w:r>
      <m:oMath>
        <m:r>
          <m:t>324</m:t>
        </m:r>
        <m:r>
          <m:t>M</m:t>
        </m:r>
        <m:r>
          <m:rPr>
            <m:sty m:val="p"/>
          </m:rPr>
          <m:t>.</m:t>
        </m:r>
        <m:r>
          <m:t>W</m:t>
        </m:r>
        <m:r>
          <m:t>i</m:t>
        </m:r>
        <m:r>
          <m:t>t</m:t>
        </m:r>
        <m:r>
          <m:t>h</m:t>
        </m:r>
        <m:r>
          <m:t>t</m:t>
        </m:r>
        <m:r>
          <m:t>h</m:t>
        </m:r>
        <m:r>
          <m:t>e</m:t>
        </m:r>
        <m:r>
          <m:t>s</m:t>
        </m:r>
        <m:r>
          <m:t>t</m:t>
        </m:r>
        <m:r>
          <m:t>o</m:t>
        </m:r>
        <m:r>
          <m:t>c</m:t>
        </m:r>
        <m:r>
          <m:t>k</m:t>
        </m:r>
        <m:r>
          <m:t>n</m:t>
        </m:r>
        <m:r>
          <m:t>o</m:t>
        </m:r>
        <m:r>
          <m:t>w</m:t>
        </m:r>
        <m:r>
          <m:t>i</m:t>
        </m:r>
        <m:r>
          <m:t>n</m:t>
        </m:r>
        <m:r>
          <m:t>t</m:t>
        </m:r>
        <m:r>
          <m:t>h</m:t>
        </m:r>
        <m:r>
          <m:t>e</m:t>
        </m:r>
        <m:r>
          <m:t> </m:t>
        </m:r>
      </m:oMath>
      <w:r>
        <w:t xml:space="preserve">260s, watch whether they stayed disciplined/opportunistic or leaned in.</w:t>
      </w:r>
    </w:p>
    <w:p>
      <w:pPr>
        <w:pStyle w:val="Compact"/>
        <w:numPr>
          <w:ilvl w:val="0"/>
          <w:numId w:val="1002"/>
        </w:numPr>
      </w:pPr>
      <w:r>
        <w:rPr>
          <w:b/>
          <w:bCs/>
        </w:rPr>
        <w:t xml:space="preserve">Leverage:</w:t>
      </w:r>
      <w:r>
        <w:t xml:space="preserve"> </w:t>
      </w:r>
      <w:r>
        <w:t xml:space="preserve">~3.6x, mid-range of the 3–4x target; ample liquidity (~$3.1B) after the March</w:t>
      </w:r>
      <w:r>
        <w:t xml:space="preserve"> </w:t>
      </w:r>
      <m:oMath>
        <m:r>
          <m:t>1.5</m:t>
        </m:r>
        <m:r>
          <m:t>B</m:t>
        </m:r>
        <m:r>
          <m:t>n</m:t>
        </m:r>
        <m:r>
          <m:t>o</m:t>
        </m:r>
        <m:r>
          <m:t>t</m:t>
        </m:r>
        <m:r>
          <m:t>e</m:t>
        </m:r>
        <m:r>
          <m:t>s</m:t>
        </m:r>
        <m:r>
          <m:t>d</m:t>
        </m:r>
        <m:r>
          <m:t>e</m:t>
        </m:r>
        <m:r>
          <m:t>a</m:t>
        </m:r>
        <m:r>
          <m:t>l</m:t>
        </m:r>
        <m:r>
          <m:rPr>
            <m:sty m:val="p"/>
          </m:rPr>
          <m:t>.</m:t>
        </m:r>
        <m:r>
          <m:t>G</m:t>
        </m:r>
        <m:r>
          <m:t>r</m:t>
        </m:r>
        <m:r>
          <m:t>o</m:t>
        </m:r>
        <m:r>
          <m:t>w</m:t>
        </m:r>
        <m:r>
          <m:t>t</m:t>
        </m:r>
        <m:r>
          <m:t>h</m:t>
        </m:r>
        <m:r>
          <m:t>c</m:t>
        </m:r>
        <m:r>
          <m:t>a</m:t>
        </m:r>
        <m:r>
          <m:t>p</m:t>
        </m:r>
        <m:r>
          <m:t>e</m:t>
        </m:r>
        <m:r>
          <m:t>x</m:t>
        </m:r>
        <m:r>
          <m:t>h</m:t>
        </m:r>
        <m:r>
          <m:t>e</m:t>
        </m:r>
        <m:r>
          <m:t>l</m:t>
        </m:r>
        <m:r>
          <m:t>d</m:t>
        </m:r>
        <m:r>
          <m:t>a</m:t>
        </m:r>
        <m:r>
          <m:t>t</m:t>
        </m:r>
        <m:r>
          <m:rPr>
            <m:sty m:val="p"/>
          </m:rPr>
          <m:t>*</m:t>
        </m:r>
        <m:r>
          <m:rPr>
            <m:sty m:val="p"/>
          </m:rPr>
          <m:t>*</m:t>
        </m:r>
        <m:r>
          <m:t> </m:t>
        </m:r>
      </m:oMath>
      <w:r>
        <w:t xml:space="preserve">4.5B** for 2026 despite adding two new plants — a free-cash-flow watch item as the heavy 2026–2028 build (Speedway, Trains 12/13, LPG expansion, 6 plants under construction) plays out.</w:t>
      </w:r>
    </w:p>
    <w:p>
      <w:r>
        <w:pict>
          <v:rect style="width:0;height:1.5pt" o:hralign="center" o:hrstd="t" o:hr="t"/>
        </w:pict>
      </w:r>
    </w:p>
    <w:bookmarkEnd w:id="15"/>
    <w:bookmarkStart w:id="16" w:name="X087b2d8921e93ae7d3d7942bc9e89450b4407ef"/>
    <w:p>
      <w:pPr>
        <w:pStyle w:val="Heading2"/>
      </w:pPr>
      <w:r>
        <w:t xml:space="preserve">6. Project execution scorecard (an under-appreciated moat)</w:t>
      </w:r>
    </w:p>
    <w:p>
      <w:pPr>
        <w:pStyle w:val="FirstParagraph"/>
      </w:pPr>
      <w:r>
        <w:t xml:space="preserve">Targa's pitch is a flawless build record —</w:t>
      </w:r>
      <w:r>
        <w:t xml:space="preserve"> </w:t>
      </w:r>
      <w:r>
        <w:rPr>
          <w:b/>
          <w:bCs/>
        </w:rPr>
        <w:t xml:space="preserve">27 major projects in 6 years, all on time or early.</w:t>
      </w:r>
      <w:r>
        <w:t xml:space="preserve"> </w:t>
      </w:r>
      <w:r>
        <w:t xml:space="preserve">Expect updates on:</w:t>
      </w:r>
    </w:p>
    <w:p>
      <w:pPr>
        <w:pStyle w:val="Compact"/>
        <w:numPr>
          <w:ilvl w:val="0"/>
          <w:numId w:val="1003"/>
        </w:numPr>
      </w:pPr>
      <w:r>
        <w:rPr>
          <w:b/>
          <w:bCs/>
        </w:rPr>
        <w:t xml:space="preserve">G&amp;P:</w:t>
      </w:r>
      <w:r>
        <w:t xml:space="preserve"> </w:t>
      </w:r>
      <w:r>
        <w:t xml:space="preserve">East Driver (Midland, 3Q26), Copperhead/Yeti/Yeti II (Delaware, 2026–27), and newly announced</w:t>
      </w:r>
      <w:r>
        <w:t xml:space="preserve"> </w:t>
      </w:r>
      <w:r>
        <w:rPr>
          <w:b/>
          <w:bCs/>
        </w:rPr>
        <w:t xml:space="preserve">Roadrunner III &amp; Copperhead II</w:t>
      </w:r>
      <w:r>
        <w:t xml:space="preserve"> </w:t>
      </w:r>
      <w:r>
        <w:t xml:space="preserve">(1Q28).</w:t>
      </w:r>
    </w:p>
    <w:p>
      <w:pPr>
        <w:pStyle w:val="Compact"/>
        <w:numPr>
          <w:ilvl w:val="0"/>
          <w:numId w:val="1003"/>
        </w:numPr>
      </w:pPr>
      <w:r>
        <w:rPr>
          <w:b/>
          <w:bCs/>
        </w:rPr>
        <w:t xml:space="preserve">Downstream:</w:t>
      </w:r>
      <w:r>
        <w:t xml:space="preserve"> </w:t>
      </w:r>
      <w:r>
        <w:t xml:space="preserve">Trains 12 (1Q27) &amp; 13 (1Q28),</w:t>
      </w:r>
      <w:r>
        <w:t xml:space="preserve"> </w:t>
      </w:r>
      <w:r>
        <w:rPr>
          <w:b/>
          <w:bCs/>
        </w:rPr>
        <w:t xml:space="preserve">Speedway</w:t>
      </w:r>
      <w:r>
        <w:t xml:space="preserve"> </w:t>
      </w:r>
      <w:r>
        <w:t xml:space="preserve">NGL pipeline (3Q27, 500 MBbl/d baseload), LPG export expansion (3Q27).</w:t>
      </w:r>
    </w:p>
    <w:p>
      <w:pPr>
        <w:pStyle w:val="Compact"/>
        <w:numPr>
          <w:ilvl w:val="0"/>
          <w:numId w:val="1003"/>
        </w:numPr>
      </w:pPr>
      <w:r>
        <w:rPr>
          <w:b/>
          <w:bCs/>
        </w:rPr>
        <w:t xml:space="preserve">Egress:</w:t>
      </w:r>
      <w:r>
        <w:t xml:space="preserve"> </w:t>
      </w:r>
      <w:r>
        <w:t xml:space="preserve">Blackcomb (equity interest) targeted for 4Q26 — the catalyst that should relieve Waha and unlock shut-in volumes; Traverse mid-2027.</w:t>
      </w:r>
    </w:p>
    <w:p>
      <w:pPr>
        <w:pStyle w:val="FirstParagraph"/>
      </w:pPr>
      <w:r>
        <w:t xml:space="preserve">Any pull-forward (as with East Pembrook and Falcon II) is an incremental positive.</w:t>
      </w:r>
    </w:p>
    <w:p>
      <w:r>
        <w:pict>
          <v:rect style="width:0;height:1.5pt" o:hralign="center" o:hrstd="t" o:hr="t"/>
        </w:pict>
      </w:r>
    </w:p>
    <w:bookmarkEnd w:id="16"/>
    <w:bookmarkStart w:id="17" w:name="X65c4b5d5dc1897e89177955cbe48cf5adccd0cb"/>
    <w:p>
      <w:pPr>
        <w:pStyle w:val="Heading2"/>
      </w:pPr>
      <w:r>
        <w:t xml:space="preserve">7. Stock &amp; sentiment</w:t>
      </w:r>
    </w:p>
    <w:p>
      <w:pPr>
        <w:pStyle w:val="FirstParagraph"/>
      </w:pPr>
      <w:r>
        <w:t xml:space="preserve">TRGP has run from ~</w:t>
      </w:r>
      <m:oMath>
        <m:r>
          <m:t>187</m:t>
        </m:r>
        <m:r>
          <m:t>a</m:t>
        </m:r>
        <m:r>
          <m:t>t</m:t>
        </m:r>
        <m:r>
          <m:t>t</m:t>
        </m:r>
        <m:r>
          <m:t>h</m:t>
        </m:r>
        <m:r>
          <m:t>e</m:t>
        </m:r>
        <m:r>
          <m:t>s</m:t>
        </m:r>
        <m:r>
          <m:t>t</m:t>
        </m:r>
        <m:r>
          <m:t>a</m:t>
        </m:r>
        <m:r>
          <m:t>r</m:t>
        </m:r>
        <m:r>
          <m:t>t</m:t>
        </m:r>
        <m:r>
          <m:t>o</m:t>
        </m:r>
        <m:r>
          <m:t>f</m:t>
        </m:r>
        <m:r>
          <m:t>t</m:t>
        </m:r>
        <m:r>
          <m:t>h</m:t>
        </m:r>
        <m:r>
          <m:t>e</m:t>
        </m:r>
        <m:r>
          <m:t>y</m:t>
        </m:r>
        <m:r>
          <m:t>e</m:t>
        </m:r>
        <m:r>
          <m:t>a</m:t>
        </m:r>
        <m:r>
          <m:t>r</m:t>
        </m:r>
        <m:r>
          <m:t>t</m:t>
        </m:r>
        <m:r>
          <m:t>o</m:t>
        </m:r>
        <m:r>
          <m:rPr>
            <m:sty m:val="p"/>
          </m:rPr>
          <m:t>*</m:t>
        </m:r>
        <m:r>
          <m:rPr>
            <m:sty m:val="p"/>
          </m:rPr>
          <m:t>*</m:t>
        </m:r>
        <m:r>
          <m:t> </m:t>
        </m:r>
      </m:oMath>
      <w:r>
        <w:t xml:space="preserve">260** (peaked at ~$286 on July 23 before a ~9% pullback into the print, tracking recent oil/macro volatility). The shares have re-rated on the guidance raise and export/volume momentum, so</w:t>
      </w:r>
      <w:r>
        <w:t xml:space="preserve"> </w:t>
      </w:r>
      <w:r>
        <w:rPr>
          <w:b/>
          <w:bCs/>
        </w:rPr>
        <w:t xml:space="preserve">positioning is favorable and the "easy" beat may already be priced</w:t>
      </w:r>
      <w:r>
        <w:t xml:space="preserve">. The risk skew: strong fundamentals are well understood, meaning the reaction likely hinges on (a) the magnitude of any guidance raise, (b) marketing-margin sustainability into 2027, and (c) capital-return cadence.</w:t>
      </w:r>
    </w:p>
    <w:p>
      <w:r>
        <w:pict>
          <v:rect style="width:0;height:1.5pt" o:hralign="center" o:hrstd="t" o:hr="t"/>
        </w:pict>
      </w:r>
    </w:p>
    <w:bookmarkEnd w:id="17"/>
    <w:bookmarkStart w:id="18" w:name="what-ill-be-watching-on-the-call"/>
    <w:p>
      <w:pPr>
        <w:pStyle w:val="Heading2"/>
      </w:pPr>
      <w:r>
        <w:t xml:space="preserve">What I'll be watching on the call</w:t>
      </w:r>
    </w:p>
    <w:p>
      <w:pPr>
        <w:pStyle w:val="Compact"/>
        <w:numPr>
          <w:ilvl w:val="0"/>
          <w:numId w:val="1004"/>
        </w:numPr>
      </w:pPr>
      <w:r>
        <w:rPr>
          <w:b/>
          <w:bCs/>
        </w:rPr>
        <w:t xml:space="preserve">Did adjusted EBITDA beat the ~$1.47B implied run-rate, and did they raise FY guidance again?</w:t>
      </w:r>
    </w:p>
    <w:p>
      <w:pPr>
        <w:pStyle w:val="Compact"/>
        <w:numPr>
          <w:ilvl w:val="0"/>
          <w:numId w:val="1004"/>
        </w:numPr>
      </w:pPr>
      <w:r>
        <w:rPr>
          <w:b/>
          <w:bCs/>
        </w:rPr>
        <w:t xml:space="preserve">Magnitude and durability of Waha marketing/optimization gains</w:t>
      </w:r>
      <w:r>
        <w:t xml:space="preserve"> </w:t>
      </w:r>
      <w:r>
        <w:t xml:space="preserve">— one-time vs. structural.</w:t>
      </w:r>
    </w:p>
    <w:p>
      <w:pPr>
        <w:pStyle w:val="Compact"/>
        <w:numPr>
          <w:ilvl w:val="0"/>
          <w:numId w:val="1004"/>
        </w:numPr>
      </w:pPr>
      <w:r>
        <w:rPr>
          <w:b/>
          <w:bCs/>
        </w:rPr>
        <w:t xml:space="preserve">Record LPG loadings confirmation + new long-term export contracts</w:t>
      </w:r>
      <w:r>
        <w:t xml:space="preserve"> </w:t>
      </w:r>
      <w:r>
        <w:t xml:space="preserve">tied to the Iran-driven butane call.</w:t>
      </w:r>
    </w:p>
    <w:p>
      <w:pPr>
        <w:pStyle w:val="Compact"/>
        <w:numPr>
          <w:ilvl w:val="0"/>
          <w:numId w:val="1004"/>
        </w:numPr>
      </w:pPr>
      <w:r>
        <w:rPr>
          <w:b/>
          <w:bCs/>
        </w:rPr>
        <w:t xml:space="preserve">Shut-in volumes and the 2027 volume setup</w:t>
      </w:r>
      <w:r>
        <w:t xml:space="preserve"> </w:t>
      </w:r>
      <w:r>
        <w:t xml:space="preserve">as Blackcomb egress approaches in Q4.</w:t>
      </w:r>
    </w:p>
    <w:p>
      <w:pPr>
        <w:pStyle w:val="Compact"/>
        <w:numPr>
          <w:ilvl w:val="0"/>
          <w:numId w:val="1004"/>
        </w:numPr>
      </w:pPr>
      <w:r>
        <w:rPr>
          <w:b/>
          <w:bCs/>
        </w:rPr>
        <w:t xml:space="preserve">Buyback pace and dividend signaling</w:t>
      </w:r>
      <w:r>
        <w:t xml:space="preserve"> </w:t>
      </w:r>
      <w:r>
        <w:t xml:space="preserve">amid the higher share price and heavy capex.</w:t>
      </w:r>
    </w:p>
    <w:p>
      <w:pPr>
        <w:pStyle w:val="Compact"/>
        <w:numPr>
          <w:ilvl w:val="0"/>
          <w:numId w:val="1004"/>
        </w:numPr>
      </w:pPr>
      <w:r>
        <w:rPr>
          <w:b/>
          <w:bCs/>
        </w:rPr>
        <w:t xml:space="preserve">Any change in producer activity/GOR trends</w:t>
      </w:r>
      <w:r>
        <w:t xml:space="preserve"> </w:t>
      </w:r>
      <w:r>
        <w:t xml:space="preserve">given the higher oil price deck.</w:t>
      </w:r>
    </w:p>
    <w:p>
      <w:pPr>
        <w:pStyle w:val="FirstParagraph"/>
      </w:pPr>
      <w:r>
        <w:rPr>
          <w:b/>
          <w:bCs/>
        </w:rPr>
        <w:t xml:space="preserve">Net:</w:t>
      </w:r>
      <w:r>
        <w:t xml:space="preserve"> </w:t>
      </w:r>
      <w:r>
        <w:t xml:space="preserve">The fundamental momentum strongly favors another solid quarter with a likely guidance-friendly tone. The key risk is expectations — after a 39% YTD move and a May raise, TRGP needs to clear a high bar to move higher, and the market will scrutinize how much of 2026's marketing/export upside is repeatable into 2027.</w:t>
      </w:r>
    </w:p>
    <w:p>
      <w:pPr>
        <w:pStyle w:val="BodyText"/>
      </w:pPr>
      <w:r>
        <w:rPr>
          <w:i/>
          <w:iCs/>
        </w:rPr>
        <w:t xml:space="preserve">Sources: TRGP Q1 2026 earnings release &amp; call transcript (May 7, 2026), Q2 2025 earnings release (Aug 7, 2025), daily energy news digests (late July–Aug 2026), and daily closing prices. Figures are company-reported adjusted (non-GAAP) measures where noted.</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2026-08-06T00:40:41Z</dcterms:created>
  <dcterms:modified xsi:type="dcterms:W3CDTF">2026-08-06T00:40:41Z</dcterms:modified>
</cp:coreProperties>
</file>

<file path=docProps/custom.xml><?xml version="1.0" encoding="utf-8"?>
<Properties xmlns="http://schemas.openxmlformats.org/officeDocument/2006/custom-properties" xmlns:vt="http://schemas.openxmlformats.org/officeDocument/2006/docPropsVTypes"/>
</file>