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Good context on Blackcomb. Let me get a couple more targeted searches: recent analyst rating changes/price targets in the past two weeks, and oil/commodity price backdrop.I now have enough information to write a comprehensive earnings preview. Let me compile it.# Targa Resources (TRGP) — Q2 2026 Earnings Preview</w:t>
      </w:r>
      <w:r>
        <w:t xml:space="preserve"> </w:t>
      </w:r>
      <w:r>
        <w:rPr>
          <w:b/>
          <w:bCs/>
        </w:rPr>
        <w:t xml:space="preserve">Report Date:</w:t>
      </w:r>
      <w:r>
        <w:t xml:space="preserve"> </w:t>
      </w:r>
      <w:r>
        <w:t xml:space="preserve">Thursday, August 6, 2026 (before market open) |</w:t>
      </w:r>
      <w:r>
        <w:t xml:space="preserve"> </w:t>
      </w:r>
      <w:r>
        <w:rPr>
          <w:b/>
          <w:bCs/>
        </w:rPr>
        <w:t xml:space="preserve">Call:</w:t>
      </w:r>
      <w:r>
        <w:t xml:space="preserve"> </w:t>
      </w:r>
      <w:r>
        <w:t xml:space="preserve">2026Q2 Earnings Call</w:t>
      </w:r>
    </w:p>
    <w:p>
      <w:r>
        <w:pict>
          <v:rect style="width:0;height:1.5pt" o:hralign="center" o:hrstd="t" o:hr="t"/>
        </w:pict>
      </w:r>
    </w:p>
    <w:bookmarkStart w:id="9" w:name="setup-into-the-quarter"/>
    <w:p>
      <w:pPr>
        <w:pStyle w:val="Heading2"/>
      </w:pPr>
      <w:r>
        <w:t xml:space="preserve">Setup Into the Quarter</w:t>
      </w:r>
    </w:p>
    <w:p>
      <w:pPr>
        <w:pStyle w:val="FirstParagraph"/>
      </w:pPr>
      <w:r>
        <w:t xml:space="preserve">Targa shares have been strong performers in 2026, up roughly</w:t>
      </w:r>
      <w:r>
        <w:t xml:space="preserve"> </w:t>
      </w:r>
      <w:r>
        <w:rPr>
          <w:b/>
          <w:bCs/>
        </w:rPr>
        <w:t xml:space="preserve">39% year-to-date</w:t>
      </w:r>
      <w:r>
        <w:t xml:space="preserve"> </w:t>
      </w:r>
      <w:r>
        <w:t xml:space="preserve">through August 5 (from ~</w:t>
      </w:r>
      <m:oMath>
        <m:r>
          <m:t>187</m:t>
        </m:r>
        <m:r>
          <m:t>t</m:t>
        </m:r>
        <m:r>
          <m:t>o</m:t>
        </m:r>
        <m:r>
          <m:t> </m:t>
        </m:r>
      </m:oMath>
      <w:r>
        <w:t xml:space="preserve">260), though the stock has pulled back from a 52-week high near</w:t>
      </w:r>
      <w:r>
        <w:t xml:space="preserve"> </w:t>
      </w:r>
      <m:oMath>
        <m:r>
          <m:t>286</m:t>
        </m:r>
        <m:r>
          <m:rPr>
            <m:sty m:val="p"/>
          </m:rPr>
          <m:t>(</m:t>
        </m:r>
        <m:r>
          <m:t>J</m:t>
        </m:r>
        <m:r>
          <m:t>u</m:t>
        </m:r>
        <m:r>
          <m:t>l</m:t>
        </m:r>
        <m:r>
          <m:t>y</m:t>
        </m:r>
        <m:r>
          <m:t>23</m:t>
        </m:r>
        <m:r>
          <m:rPr>
            <m:sty m:val="p"/>
          </m:rPr>
          <m:t>)</m:t>
        </m:r>
        <m:r>
          <m:t>a</m:t>
        </m:r>
        <m:r>
          <m:t>m</m:t>
        </m:r>
        <m:r>
          <m:t>i</m:t>
        </m:r>
        <m:r>
          <m:t>d</m:t>
        </m:r>
        <m:r>
          <m:t>a</m:t>
        </m:r>
        <m:r>
          <m:t>b</m:t>
        </m:r>
        <m:r>
          <m:t>r</m:t>
        </m:r>
        <m:r>
          <m:t>o</m:t>
        </m:r>
        <m:r>
          <m:t>a</m:t>
        </m:r>
        <m:r>
          <m:t>d</m:t>
        </m:r>
        <m:r>
          <m:t>e</m:t>
        </m:r>
        <m:r>
          <m:t>r</m:t>
        </m:r>
        <m:r>
          <m:t>e</m:t>
        </m:r>
        <m:r>
          <m:t>n</m:t>
        </m:r>
        <m:r>
          <m:t>e</m:t>
        </m:r>
        <m:r>
          <m:t>r</m:t>
        </m:r>
        <m:r>
          <m:t>g</m:t>
        </m:r>
        <m:r>
          <m:t>y</m:t>
        </m:r>
        <m:r>
          <m:rPr>
            <m:sty m:val="p"/>
          </m:rPr>
          <m:t>−</m:t>
        </m:r>
        <m:r>
          <m:t>s</m:t>
        </m:r>
        <m:r>
          <m:t>e</m:t>
        </m:r>
        <m:r>
          <m:t>c</m:t>
        </m:r>
        <m:r>
          <m:t>t</m:t>
        </m:r>
        <m:r>
          <m:t>o</m:t>
        </m:r>
        <m:r>
          <m:t>r</m:t>
        </m:r>
        <m:r>
          <m:t>w</m:t>
        </m:r>
        <m:r>
          <m:t>o</m:t>
        </m:r>
        <m:r>
          <m:t>b</m:t>
        </m:r>
        <m:r>
          <m:t>b</m:t>
        </m:r>
        <m:r>
          <m:t>l</m:t>
        </m:r>
        <m:r>
          <m:t>e</m:t>
        </m:r>
        <m:r>
          <m:t>t</m:t>
        </m:r>
        <m:r>
          <m:t>i</m:t>
        </m:r>
        <m:r>
          <m:t>e</m:t>
        </m:r>
        <m:r>
          <m:t>d</m:t>
        </m:r>
        <m:r>
          <m:t>t</m:t>
        </m:r>
        <m:r>
          <m:t>o</m:t>
        </m:r>
        <m:r>
          <m:t>a</m:t>
        </m:r>
        <m:r>
          <m:t>p</m:t>
        </m:r>
        <m:r>
          <m:t>u</m:t>
        </m:r>
        <m:r>
          <m:t>l</m:t>
        </m:r>
        <m:r>
          <m:t>l</m:t>
        </m:r>
        <m:r>
          <m:t>b</m:t>
        </m:r>
        <m:r>
          <m:t>a</m:t>
        </m:r>
        <m:r>
          <m:t>c</m:t>
        </m:r>
        <m:r>
          <m:t>k</m:t>
        </m:r>
        <m:r>
          <m:t>i</m:t>
        </m:r>
        <m:r>
          <m:t>n</m:t>
        </m:r>
        <m:r>
          <m:t>o</m:t>
        </m:r>
        <m:r>
          <m:t>i</m:t>
        </m:r>
        <m:r>
          <m:t>l</m:t>
        </m:r>
        <m:r>
          <m:t>p</m:t>
        </m:r>
        <m:r>
          <m:t>r</m:t>
        </m:r>
        <m:r>
          <m:t>i</m:t>
        </m:r>
        <m:r>
          <m:t>c</m:t>
        </m:r>
        <m:r>
          <m:t>e</m:t>
        </m:r>
        <m:r>
          <m:t>s</m:t>
        </m:r>
        <m:r>
          <m:rPr>
            <m:sty m:val="p"/>
          </m:rPr>
          <m:t>—</m:t>
        </m:r>
        <m:r>
          <m:t>T</m:t>
        </m:r>
        <m:r>
          <m:t>R</m:t>
        </m:r>
        <m:r>
          <m:t>G</m:t>
        </m:r>
        <m:r>
          <m:t>P</m:t>
        </m:r>
        <m:r>
          <m:t>f</m:t>
        </m:r>
        <m:r>
          <m:t>e</m:t>
        </m:r>
        <m:r>
          <m:t>l</m:t>
        </m:r>
        <m:r>
          <m:t>l</m:t>
        </m:r>
        <m:r>
          <m:rPr>
            <m:sty m:val="p"/>
          </m:rPr>
          <m:t>*</m:t>
        </m:r>
        <m:r>
          <m:rPr>
            <m:sty m:val="p"/>
          </m:rPr>
          <m:t>*</m:t>
        </m:r>
        <m:r>
          <m:t>4.9</m:t>
        </m:r>
      </m:oMath>
      <w:r>
        <w:t xml:space="preserve">295** and Morgan Stanley's Overweight target sitting at</w:t>
      </w:r>
      <w:r>
        <w:t xml:space="preserve"> </w:t>
      </w:r>
      <w:r>
        <w:rPr>
          <w:b/>
          <w:bCs/>
        </w:rPr>
        <w:t xml:space="preserve">$333</w:t>
      </w:r>
      <w:r>
        <w:t xml:space="preserve"> </w:t>
      </w:r>
      <w:r>
        <w:t xml:space="preserve">(raised from $331 in mid-July). TD Cowen, by contrast, recently raised its target to $270 but kept a Hold rating, illustrating some valuation debate after the run-up (EV/EBITDA around 13-14x per recent data).</w:t>
      </w:r>
    </w:p>
    <w:bookmarkEnd w:id="9"/>
    <w:bookmarkStart w:id="10" w:name="what-wall-street-expects"/>
    <w:p>
      <w:pPr>
        <w:pStyle w:val="Heading2"/>
      </w:pPr>
      <w:r>
        <w:t xml:space="preserve">What Wall Street Expects</w:t>
      </w:r>
    </w:p>
    <w:p>
      <w:pPr>
        <w:pStyle w:val="Compact"/>
        <w:numPr>
          <w:ilvl w:val="0"/>
          <w:numId w:val="1001"/>
        </w:numPr>
      </w:pPr>
      <w:r>
        <w:rPr>
          <w:b/>
          <w:bCs/>
        </w:rPr>
        <w:t xml:space="preserve">EPS:</w:t>
      </w:r>
      <w:r>
        <w:t xml:space="preserve"> </w:t>
      </w:r>
      <w:r>
        <w:t xml:space="preserve">Consensus is roughly</w:t>
      </w:r>
      <w:r>
        <w:t xml:space="preserve"> </w:t>
      </w:r>
      <m:oMath>
        <m:r>
          <m:t>2.64</m:t>
        </m:r>
        <m:r>
          <m:rPr>
            <m:sty m:val="p"/>
          </m:rPr>
          <m:t>–</m:t>
        </m:r>
      </m:oMath>
      <w:r>
        <w:rPr>
          <w:b/>
          <w:bCs/>
        </w:rPr>
        <w:t xml:space="preserve">2.75</w:t>
      </w:r>
      <w:r>
        <w:t xml:space="preserve"> </w:t>
      </w:r>
      <w:r>
        <w:t xml:space="preserve">for Q2 2026, which would actually represent a modest</w:t>
      </w:r>
      <w:r>
        <w:t xml:space="preserve"> </w:t>
      </w:r>
      <w:r>
        <w:rPr>
          <w:b/>
          <w:bCs/>
        </w:rPr>
        <w:t xml:space="preserve">year-over-year decline</w:t>
      </w:r>
      <w:r>
        <w:t xml:space="preserve"> </w:t>
      </w:r>
      <w:r>
        <w:t xml:space="preserve">(versus</w:t>
      </w:r>
      <w:r>
        <w:t xml:space="preserve"> </w:t>
      </w:r>
      <w:r>
        <w:t xml:space="preserve">$2.87 in Q2 2025) despite the business growing — a function of higher share count/D&amp;A/interest expense against a tough comp. Notably, US Capital Advisors raised its estimate to **$</w:t>
      </w:r>
      <w:r>
        <w:t xml:space="preserve">2.75** (from $2.53) on July 29, and the "Most Accurate Estimate" trend for the stock is running above consensus, giving a positive Earnings ESP skew.</w:t>
      </w:r>
    </w:p>
    <w:p>
      <w:pPr>
        <w:pStyle w:val="Compact"/>
        <w:numPr>
          <w:ilvl w:val="0"/>
          <w:numId w:val="1001"/>
        </w:numPr>
      </w:pPr>
      <w:r>
        <w:rPr>
          <w:b/>
          <w:bCs/>
        </w:rPr>
        <w:t xml:space="preserve">Revenue:</w:t>
      </w:r>
      <w:r>
        <w:t xml:space="preserve"> </w:t>
      </w:r>
      <w:r>
        <w:t xml:space="preserve">Consensus around</w:t>
      </w:r>
      <w:r>
        <w:t xml:space="preserve"> </w:t>
      </w:r>
      <w:r>
        <w:rPr>
          <w:b/>
          <w:bCs/>
        </w:rPr>
        <w:t xml:space="preserve">$4.95 billion</w:t>
      </w:r>
      <w:r>
        <w:t xml:space="preserve">, implying</w:t>
      </w:r>
      <w:r>
        <w:t xml:space="preserve"> </w:t>
      </w:r>
      <w:r>
        <w:rPr>
          <w:b/>
          <w:bCs/>
        </w:rPr>
        <w:t xml:space="preserve">~16% year-over-year growth</w:t>
      </w:r>
      <w:r>
        <w:t xml:space="preserve">.</w:t>
      </w:r>
    </w:p>
    <w:p>
      <w:pPr>
        <w:pStyle w:val="Compact"/>
        <w:numPr>
          <w:ilvl w:val="0"/>
          <w:numId w:val="1001"/>
        </w:numPr>
      </w:pPr>
      <w:r>
        <w:rPr>
          <w:b/>
          <w:bCs/>
        </w:rPr>
        <w:t xml:space="preserve">Full-year 2026:</w:t>
      </w:r>
      <w:r>
        <w:t xml:space="preserve"> </w:t>
      </w:r>
      <w:r>
        <w:t xml:space="preserve">Consensus EPS of roughly</w:t>
      </w:r>
      <w:r>
        <w:t xml:space="preserve"> </w:t>
      </w:r>
      <m:oMath>
        <m:r>
          <m:t>10.75</m:t>
        </m:r>
        <m:r>
          <m:rPr>
            <m:sty m:val="p"/>
          </m:rPr>
          <m:t>–</m:t>
        </m:r>
      </m:oMath>
      <w:r>
        <w:rPr>
          <w:b/>
          <w:bCs/>
        </w:rPr>
        <w:t xml:space="preserve">10.79</w:t>
      </w:r>
      <w:r>
        <w:t xml:space="preserve">, up over 26% versus 2025's $8.49.</w:t>
      </w:r>
    </w:p>
    <w:p>
      <w:pPr>
        <w:pStyle w:val="Compact"/>
        <w:numPr>
          <w:ilvl w:val="0"/>
          <w:numId w:val="1001"/>
        </w:numPr>
      </w:pPr>
      <w:r>
        <w:t xml:space="preserve">Targa has beaten Street EPS estimates in</w:t>
      </w:r>
      <w:r>
        <w:t xml:space="preserve"> </w:t>
      </w:r>
      <w:r>
        <w:rPr>
          <w:b/>
          <w:bCs/>
        </w:rPr>
        <w:t xml:space="preserve">two of the past four quarters</w:t>
      </w:r>
      <w:r>
        <w:t xml:space="preserve"> </w:t>
      </w:r>
      <w:r>
        <w:t xml:space="preserve">while missing in the other two — including a headline "miss" last quarter (Q1 2026 EPS of</w:t>
      </w:r>
      <w:r>
        <w:t xml:space="preserve"> </w:t>
      </w:r>
      <m:oMath>
        <m:r>
          <m:t>2.21</m:t>
        </m:r>
        <m:r>
          <m:t>v</m:t>
        </m:r>
        <m:r>
          <m:t>s</m:t>
        </m:r>
        <m:r>
          <m:rPr>
            <m:sty m:val="p"/>
          </m:rPr>
          <m:t>.</m:t>
        </m:r>
        <m:r>
          <m:t> </m:t>
        </m:r>
      </m:oMath>
      <w:r>
        <w:t xml:space="preserve">2.55-2.56 estimate) that nonetheless came alongside record operational results and a raised full-year outlook, and the stock still rose on the print.</w:t>
      </w:r>
    </w:p>
    <w:bookmarkEnd w:id="10"/>
    <w:bookmarkStart w:id="11" w:name="key-things-to-watch-in-the-print"/>
    <w:p>
      <w:pPr>
        <w:pStyle w:val="Heading2"/>
      </w:pPr>
      <w:r>
        <w:t xml:space="preserve">Key Things to Watch in the Print</w:t>
      </w:r>
    </w:p>
    <w:p>
      <w:pPr>
        <w:pStyle w:val="FirstParagraph"/>
      </w:pPr>
      <w:r>
        <w:rPr>
          <w:b/>
          <w:bCs/>
        </w:rPr>
        <w:t xml:space="preserve">1. Did the Q2 volume inflection materialize?</w:t>
      </w:r>
      <w:r>
        <w:t xml:space="preserve"> </w:t>
      </w:r>
      <w:r>
        <w:t xml:space="preserve">On the Q1 call, management flagged that their current volumes are about 250 million cubic feet a day higher than the Q1 average, and that on any given day, they've got about 200 million to 400 million cubic feet a day of shut-ins on their system that are really driven by the low Waha gas prices that they are seeing. Management guided that second quarter, they are seeing really good strong underlying fundamental activity, but also seeing increasing shut-ins because of lower gas prices... there's a lot of volume growth, and when they get these incremental pipes online later this year, there's going to be a material step-up in volumes. Investors will want confirmation that Permian inlet volumes indeed stepped up sequentially as promised, and color on how much Waha-driven producer curtailment persisted through Q2.</w:t>
      </w:r>
    </w:p>
    <w:p>
      <w:pPr>
        <w:pStyle w:val="BodyText"/>
      </w:pPr>
      <w:r>
        <w:rPr>
          <w:b/>
          <w:bCs/>
        </w:rPr>
        <w:t xml:space="preserve">2. Waha basis / Permian egress dynamics.</w:t>
      </w:r>
      <w:r>
        <w:t xml:space="preserve"> </w:t>
      </w:r>
      <w:r>
        <w:t xml:space="preserve">Weak Waha gas prices and periodic producer shut-ins were the dominant swing factor in Q1, and management said the situation is largely playing out as they expected this year, which is that as they go through the year ahead of the incremental pipes coming online as well as the GCX expansion, it's going to continue to be really tight... arguably going to continue to get worse before it gets better. Relief is targeted for later this year: Targa expects Blackcomb, a natural gas pipeline in which they have an equity interest, will provide much needed egress relief for the Permian when in service in the fourth quarter of this year, with Traverse following in mid-2027. Independent reporting corroborates a</w:t>
      </w:r>
      <w:r>
        <w:t xml:space="preserve"> </w:t>
      </w:r>
      <w:r>
        <w:rPr>
          <w:b/>
          <w:bCs/>
        </w:rPr>
        <w:t xml:space="preserve">Q3 2026 target launch</w:t>
      </w:r>
      <w:r>
        <w:t xml:space="preserve"> </w:t>
      </w:r>
      <w:r>
        <w:t xml:space="preserve">for Blackcomb (WhiteWater/MPLX/Enbridge), so listen for any update on timing/de-bottlenecking and how much marketing/optimization upside Targa is still capturing from wide basis spreads.</w:t>
      </w:r>
    </w:p>
    <w:p>
      <w:pPr>
        <w:pStyle w:val="BodyText"/>
      </w:pPr>
      <w:r>
        <w:rPr>
          <w:b/>
          <w:bCs/>
        </w:rPr>
        <w:t xml:space="preserve">3. Guidance trajectory — another raise?</w:t>
      </w:r>
      <w:r>
        <w:t xml:space="preserve"> </w:t>
      </w:r>
      <w:r>
        <w:t xml:space="preserve">Targa already lifted full-year 2026 adjusted EBITDA guidance materially at Q1, to</w:t>
      </w:r>
      <w:r>
        <w:t xml:space="preserve"> </w:t>
      </w:r>
      <m:oMath>
        <m:r>
          <m:t>5.7</m:t>
        </m:r>
        <m:r>
          <m:rPr>
            <m:sty m:val="p"/>
          </m:rPr>
          <m:t>–</m:t>
        </m:r>
      </m:oMath>
      <w:r>
        <w:rPr>
          <w:b/>
          <w:bCs/>
        </w:rPr>
        <w:t xml:space="preserve">5.9 billion</w:t>
      </w:r>
      <w:r>
        <w:t xml:space="preserve"> </w:t>
      </w:r>
      <w:r>
        <w:t xml:space="preserve">(a</w:t>
      </w:r>
      <w:r>
        <w:t xml:space="preserve"> </w:t>
      </w:r>
      <m:oMath>
        <m:r>
          <m:t>300</m:t>
        </m:r>
        <m:r>
          <m:t>m</m:t>
        </m:r>
        <m:r>
          <m:t>i</m:t>
        </m:r>
        <m:r>
          <m:t>l</m:t>
        </m:r>
        <m:r>
          <m:t>l</m:t>
        </m:r>
        <m:r>
          <m:t>i</m:t>
        </m:r>
        <m:r>
          <m:t>o</m:t>
        </m:r>
        <m:r>
          <m:t>n</m:t>
        </m:r>
        <m:r>
          <m:t>i</m:t>
        </m:r>
        <m:r>
          <m:t>n</m:t>
        </m:r>
        <m:r>
          <m:t>c</m:t>
        </m:r>
        <m:r>
          <m:t>r</m:t>
        </m:r>
        <m:r>
          <m:t>e</m:t>
        </m:r>
        <m:r>
          <m:t>a</m:t>
        </m:r>
        <m:r>
          <m:t>s</m:t>
        </m:r>
        <m:r>
          <m:t>e</m:t>
        </m:r>
        <m:r>
          <m:t>f</m:t>
        </m:r>
        <m:r>
          <m:t>r</m:t>
        </m:r>
        <m:r>
          <m:t>o</m:t>
        </m:r>
        <m:r>
          <m:t>m</m:t>
        </m:r>
        <m:r>
          <m:t>t</m:t>
        </m:r>
        <m:r>
          <m:t>h</m:t>
        </m:r>
        <m:r>
          <m:t>e</m:t>
        </m:r>
        <m:r>
          <m:t>F</m:t>
        </m:r>
        <m:r>
          <m:t>e</m:t>
        </m:r>
        <m:r>
          <m:t>b</m:t>
        </m:r>
        <m:r>
          <m:t>r</m:t>
        </m:r>
        <m:r>
          <m:t>u</m:t>
        </m:r>
        <m:r>
          <m:t>a</m:t>
        </m:r>
        <m:r>
          <m:t>r</m:t>
        </m:r>
        <m:r>
          <m:t>y</m:t>
        </m:r>
        <m:r>
          <m:t>i</m:t>
        </m:r>
        <m:r>
          <m:t>n</m:t>
        </m:r>
        <m:r>
          <m:t>i</m:t>
        </m:r>
        <m:r>
          <m:t>t</m:t>
        </m:r>
        <m:r>
          <m:t>i</m:t>
        </m:r>
        <m:r>
          <m:t>a</m:t>
        </m:r>
        <m:r>
          <m:t>l</m:t>
        </m:r>
        <m:r>
          <m:t>g</m:t>
        </m:r>
        <m:r>
          <m:t>u</m:t>
        </m:r>
        <m:r>
          <m:t>i</m:t>
        </m:r>
        <m:r>
          <m:t>d</m:t>
        </m:r>
        <m:r>
          <m:t>e</m:t>
        </m:r>
        <m:r>
          <m:rPr>
            <m:sty m:val="p"/>
          </m:rPr>
          <m:t>,</m:t>
        </m:r>
        <m:r>
          <m:t>a</m:t>
        </m:r>
        <m:r>
          <m:t>n</m:t>
        </m:r>
        <m:r>
          <m:t>d</m:t>
        </m:r>
        <m:r>
          <m:t> </m:t>
        </m:r>
        <m:r>
          <m:t>17</m:t>
        </m:r>
      </m:oMath>
      <w:r>
        <w:t xml:space="preserve">4.5B growth / ~$250M maintenance capex, unchanged despite two new plant announcements), and (c) leverage (3.6x at Q1-end, within the 3–4x target).</w:t>
      </w:r>
    </w:p>
    <w:p>
      <w:pPr>
        <w:pStyle w:val="BodyText"/>
      </w:pPr>
      <w:r>
        <w:rPr>
          <w:b/>
          <w:bCs/>
        </w:rPr>
        <w:t xml:space="preserve">4. LPG export momentum.</w:t>
      </w:r>
      <w:r>
        <w:t xml:space="preserve"> </w:t>
      </w:r>
      <w:r>
        <w:t xml:space="preserve">Q1 was dented by an unplanned Galena Park outage, but management guided to a</w:t>
      </w:r>
      <w:r>
        <w:t xml:space="preserve"> </w:t>
      </w:r>
      <w:r>
        <w:rPr>
          <w:b/>
          <w:bCs/>
        </w:rPr>
        <w:t xml:space="preserve">record Q2</w:t>
      </w:r>
      <w:r>
        <w:t xml:space="preserve"> </w:t>
      </w:r>
      <w:r>
        <w:t xml:space="preserve">for LPG loadings, helped by incremental butane demand tied to Middle East supply disruption: they have secured some additional contracts across this year that they expect will drive record Targa loadings in the second quarter, and as a result of the Iran conflict, there's been an additional call on butane, so they're working with their core portfolio of customers to move more butane across the dock. Confirmation of a record loadings quarter, plus any new long-term contract announcements, would be a positive read-through for the pending GPMT LPG export expansion (targeted Q3 2027).</w:t>
      </w:r>
    </w:p>
    <w:p>
      <w:pPr>
        <w:pStyle w:val="BodyText"/>
      </w:pPr>
      <w:r>
        <w:rPr>
          <w:b/>
          <w:bCs/>
        </w:rPr>
        <w:t xml:space="preserve">5. Project execution / growth backlog.</w:t>
      </w:r>
      <w:r>
        <w:t xml:space="preserve"> </w:t>
      </w:r>
      <w:r>
        <w:t xml:space="preserve">Targa's track record is a key part of the bull case — over the last 6 years, they have brought into service 27 major projects, including 16 Permian processing plants, 5 fractionators and 3 NGL transportation pipelines with every one of these major projects over this period coming online on time or ahead of schedule. Since Q1, the company has continued adding to its Permian Delaware footprint (Roadrunner III and Copperhead II, both targeted for Q1 2028), on top of East Driver (Q3 2026), Copperhead, Yeti I and Yeti II. Watch for updates on Speedway (large NGL pipeline expansion, Q3 2027), Trains 12/13 fractionators (Q1 2027 / Q1 2028), and whether any projects have been pulled forward — a recurring Targa pattern (East Pembrook and Falcon II both started up ahead of schedule this year).</w:t>
      </w:r>
    </w:p>
    <w:p>
      <w:pPr>
        <w:pStyle w:val="BodyText"/>
      </w:pPr>
      <w:r>
        <w:rPr>
          <w:b/>
          <w:bCs/>
        </w:rPr>
        <w:t xml:space="preserve">6. Capital returns.</w:t>
      </w:r>
      <w:r>
        <w:t xml:space="preserve"> </w:t>
      </w:r>
      <w:r>
        <w:t xml:space="preserve">Targa raised its quarterly dividend 25% to **</w:t>
      </w:r>
      <m:oMath>
        <m:r>
          <m:t>1.25</m:t>
        </m:r>
        <m:r>
          <m:rPr>
            <m:sty m:val="p"/>
          </m:rPr>
          <m:t>/</m:t>
        </m:r>
        <m:r>
          <m:t>s</m:t>
        </m:r>
        <m:r>
          <m:t>h</m:t>
        </m:r>
        <m:r>
          <m:t>a</m:t>
        </m:r>
        <m:r>
          <m:t>r</m:t>
        </m:r>
        <m:r>
          <m:t>e</m:t>
        </m:r>
        <m:r>
          <m:rPr>
            <m:sty m:val="p"/>
          </m:rPr>
          <m:t>*</m:t>
        </m:r>
        <m:r>
          <m:rPr>
            <m:sty m:val="p"/>
          </m:rPr>
          <m:t>*</m:t>
        </m:r>
        <m:r>
          <m:rPr>
            <m:sty m:val="p"/>
          </m:rPr>
          <m:t>(</m:t>
        </m:r>
      </m:oMath>
      <w:r>
        <w:t xml:space="preserve">5.00 annualized) in Q1 and repurchased</w:t>
      </w:r>
      <w:r>
        <w:t xml:space="preserve"> </w:t>
      </w:r>
      <m:oMath>
        <m:r>
          <m:t>55</m:t>
        </m:r>
        <m:r>
          <m:t>m</m:t>
        </m:r>
        <m:r>
          <m:t>i</m:t>
        </m:r>
        <m:r>
          <m:t>l</m:t>
        </m:r>
        <m:r>
          <m:t>l</m:t>
        </m:r>
        <m:r>
          <m:t>i</m:t>
        </m:r>
        <m:r>
          <m:t>o</m:t>
        </m:r>
        <m:r>
          <m:t>n</m:t>
        </m:r>
        <m:r>
          <m:t>o</m:t>
        </m:r>
        <m:r>
          <m:t>f</m:t>
        </m:r>
        <m:r>
          <m:t>s</m:t>
        </m:r>
        <m:r>
          <m:t>t</m:t>
        </m:r>
        <m:r>
          <m:t>o</m:t>
        </m:r>
        <m:r>
          <m:t>c</m:t>
        </m:r>
        <m:r>
          <m:t>k</m:t>
        </m:r>
        <m:r>
          <m:rPr>
            <m:sty m:val="p"/>
          </m:rPr>
          <m:t>(</m:t>
        </m:r>
        <m:r>
          <m:t>a</m:t>
        </m:r>
        <m:r>
          <m:t>t</m:t>
        </m:r>
        <m:r>
          <m:t> </m:t>
        </m:r>
      </m:oMath>
      <w:r>
        <w:t xml:space="preserve">241/share) with $1.3 billion left on the buyback authorization. With EBITDA guidance rising and leverage comfortably in range, investors will watch for continued opportunistic buybacks and any signal on the pace of future dividend growth.</w:t>
      </w:r>
    </w:p>
    <w:p>
      <w:pPr>
        <w:pStyle w:val="BodyText"/>
      </w:pPr>
      <w:r>
        <w:rPr>
          <w:b/>
          <w:bCs/>
        </w:rPr>
        <w:t xml:space="preserve">7. Non-Permian/M&amp;A optionality.</w:t>
      </w:r>
      <w:r>
        <w:t xml:space="preserve"> </w:t>
      </w:r>
      <w:r>
        <w:t xml:space="preserve">On the Q1 call, management reiterated openness to portfolio moves: part of their job is to always evaluate if somebody has a view that something is worth more to them, then that's something they would certainly consider in terms of monetizing assets... but they're in such a strong balance sheet position. Any update here (particularly on non-Permian assets) would be worth noting, alongside integration commentary on the Permian Basin acquisition closed in January 2026.</w:t>
      </w:r>
    </w:p>
    <w:bookmarkEnd w:id="11"/>
    <w:bookmarkStart w:id="12" w:name="macrosector-backdrop"/>
    <w:p>
      <w:pPr>
        <w:pStyle w:val="Heading2"/>
      </w:pPr>
      <w:r>
        <w:t xml:space="preserve">Macro/Sector Backdrop</w:t>
      </w:r>
    </w:p>
    <w:p>
      <w:pPr>
        <w:pStyle w:val="FirstParagraph"/>
      </w:pPr>
      <w:r>
        <w:t xml:space="preserve">Energy majors reported blockbuster Q2 results this week (Chevron ~</w:t>
      </w:r>
      <m:oMath>
        <m:r>
          <m:t>12.1</m:t>
        </m:r>
        <m:r>
          <m:t>B</m:t>
        </m:r>
        <m:r>
          <m:rPr>
            <m:sty m:val="p"/>
          </m:rPr>
          <m:t>,</m:t>
        </m:r>
        <m:r>
          <m:t>E</m:t>
        </m:r>
        <m:r>
          <m:t>x</m:t>
        </m:r>
        <m:r>
          <m:t>x</m:t>
        </m:r>
        <m:r>
          <m:t>o</m:t>
        </m:r>
        <m:r>
          <m:t>n</m:t>
        </m:r>
        <m:r>
          <m:t>M</m:t>
        </m:r>
        <m:r>
          <m:t>o</m:t>
        </m:r>
        <m:r>
          <m:t>b</m:t>
        </m:r>
        <m:r>
          <m:t>i</m:t>
        </m:r>
        <m:r>
          <m:t>l</m:t>
        </m:r>
        <m:r>
          <m:t> </m:t>
        </m:r>
      </m:oMath>
      <w:r>
        <w:t xml:space="preserve">14.5B, both aided by Middle East conflict-driven price/margin strength), and refiner Phillips 66 posted a near-quadrupling of profit on stronger refining margins — a generally constructive read for midstream volumes and marketing/optimization economics. At the same time, a late-July pullback in oil prices weighed on energy equities broadly, including TRGP, underscoring that near-term share-price sensitivity to crude/gas headlines remains elevated even for a largely fee-based midstream model.</w:t>
      </w:r>
    </w:p>
    <w:bookmarkEnd w:id="12"/>
    <w:bookmarkStart w:id="13" w:name="bottom-line"/>
    <w:p>
      <w:pPr>
        <w:pStyle w:val="Heading2"/>
      </w:pPr>
      <w:r>
        <w:t xml:space="preserve">Bottom Line</w:t>
      </w:r>
    </w:p>
    <w:p>
      <w:pPr>
        <w:pStyle w:val="FirstParagraph"/>
      </w:pPr>
      <w:r>
        <w:t xml:space="preserve">The bar going into Thursday is for a</w:t>
      </w:r>
      <w:r>
        <w:t xml:space="preserve"> </w:t>
      </w:r>
      <w:r>
        <w:rPr>
          <w:b/>
          <w:bCs/>
        </w:rPr>
        <w:t xml:space="preserve">slight y/y EPS decline</w:t>
      </w:r>
      <w:r>
        <w:t xml:space="preserve"> </w:t>
      </w:r>
      <w:r>
        <w:t xml:space="preserve">despite double-digit revenue and EBITDA growth — largely a function of a tough prior-year comp and rising D&amp;A/interest costs from Targa's aggressive growth program. The real story for investors is less about the EPS beat/miss and more about: (1) whether Permian volumes accelerated as promised despite ongoing Waha-driven shut-ins, (2) whether marketing/LPG optimization tailwinds (Middle East-driven butane demand, wide Waha spreads) again exceed the "modest" assumptions baked into guidance — setting up a</w:t>
      </w:r>
      <w:r>
        <w:t xml:space="preserve"> </w:t>
      </w:r>
      <w:r>
        <w:rPr>
          <w:b/>
          <w:bCs/>
        </w:rPr>
        <w:t xml:space="preserve">third straight guidance raise</w:t>
      </w:r>
      <w:r>
        <w:t xml:space="preserve"> </w:t>
      </w:r>
      <w:r>
        <w:t xml:space="preserve">for 2026 EBITDA — and (3) continued on-time/early execution across the record backlog of Permian plants, fractionators, and pipelines that underpins the multi-year growth story into 2027-2028.</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2026-08-06T00:45:59Z</dcterms:created>
  <dcterms:modified xsi:type="dcterms:W3CDTF">2026-08-06T00:45:59Z</dcterms:modified>
</cp:coreProperties>
</file>

<file path=docProps/custom.xml><?xml version="1.0" encoding="utf-8"?>
<Properties xmlns="http://schemas.openxmlformats.org/officeDocument/2006/custom-properties" xmlns:vt="http://schemas.openxmlformats.org/officeDocument/2006/docPropsVTypes"/>
</file>