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rgp-earnings-predictions--2026-08-06"/>
    <w:p>
      <w:pPr>
        <w:pStyle w:val="Heading1"/>
      </w:pPr>
      <w:r>
        <w:t xml:space="preserve">TRGP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~$1.535B vs. cons $1.485B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Permian inlet volumes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~6.99 Bcf/d vs. cons 6.97 Bcf/d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LPG export volumes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~485 Mbbl/d vs. cons 475 Mbbl/d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~$6.0B midpoint vs. cons $5.834B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growth 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~$4.5B vs. cons $4.5B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Permian inlet-volume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~11% vs. cons 11%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TRGP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+2.4% (FADE)</w:t>
            </w:r>
          </w:p>
        </w:tc>
        <w:tc>
          <w:tcPr/>
          <w:p>
            <w:pPr>
              <w:pStyle w:val="Compact"/>
            </w:pPr>
            <w:r>
              <w:t xml:space="preserve">The initial ~+3.8% day-1 residual should fade to ~+2.4% cumulatively by day 5: a beat and FY2026 raise support estimates, but the raise is likely partly Waha-marketing driven, while normalization of optimization margins limits out-period revisions despite stronger core volumes and project execution.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2026-08-06T00:41:55Z</dcterms:created>
  <dcterms:modified xsi:type="dcterms:W3CDTF">2026-08-06T00:41:55Z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