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bb8eeec4be3ab57c82c3c9cdeadbf533f032af"/>
    <w:p>
      <w:pPr>
        <w:pStyle w:val="Heading1"/>
      </w:pPr>
      <w:r>
        <w:t xml:space="preserve">Targa Resources (NYSE: TRGP) — 2026 Q2 Earnings Preview</w:t>
      </w:r>
    </w:p>
    <w:p>
      <w:pPr>
        <w:pStyle w:val="BlockText"/>
      </w:pPr>
      <w:r>
        <w:rPr>
          <w:b/>
          <w:bCs/>
        </w:rPr>
        <w:t xml:space="preserve">Timing correction:</w:t>
      </w:r>
      <w:r>
        <w:t xml:space="preserve"> </w:t>
      </w:r>
      <w:r>
        <w:t xml:space="preserve">Targa says it will report</w:t>
      </w:r>
      <w:r>
        <w:t xml:space="preserve"> </w:t>
      </w:r>
      <w:r>
        <w:rPr>
          <w:b/>
          <w:bCs/>
        </w:rPr>
        <w:t xml:space="preserve">before the market opens on Thursday, August 6, 2026</w:t>
      </w:r>
      <w:r>
        <w:t xml:space="preserve">, with its earnings call at</w:t>
      </w:r>
      <w:r>
        <w:t xml:space="preserve"> </w:t>
      </w:r>
      <w:r>
        <w:rPr>
          <w:b/>
          <w:bCs/>
        </w:rPr>
        <w:t xml:space="preserve">11:00 a.m. ET</w:t>
      </w:r>
      <w:r>
        <w:t xml:space="preserve">. Given today’s date, the report is scheduled for</w:t>
      </w:r>
      <w:r>
        <w:t xml:space="preserve"> </w:t>
      </w:r>
      <w:r>
        <w:rPr>
          <w:b/>
          <w:bCs/>
        </w:rPr>
        <w:t xml:space="preserve">today—not tomorrow</w:t>
      </w:r>
      <w:r>
        <w:t xml:space="preserve">.</w:t>
      </w:r>
    </w:p>
    <w:bookmarkStart w:id="9" w:name="executive-view"/>
    <w:p>
      <w:pPr>
        <w:pStyle w:val="Heading2"/>
      </w:pPr>
      <w:r>
        <w:t xml:space="preserve">Executive view</w:t>
      </w:r>
    </w:p>
    <w:p>
      <w:pPr>
        <w:pStyle w:val="FirstParagraph"/>
      </w:pPr>
      <w:r>
        <w:t xml:space="preserve">Targa enters the quarter with considerable operating momentum: record first-quarter EBITDA, rising Permian volumes, new processing and fractionation capacity, and unusually favorable natural-gas marketing and LPG-export opportunities. The central question is therefore not whether Q2 improved sequentially, but</w:t>
      </w:r>
      <w:r>
        <w:t xml:space="preserve"> </w:t>
      </w:r>
      <w:r>
        <w:rPr>
          <w:b/>
          <w:bCs/>
        </w:rPr>
        <w:t xml:space="preserve">how much of that improvement is sustainable rather than attributable to temporary optimization margins</w:t>
      </w:r>
      <w:r>
        <w:t xml:space="preserve">.</w:t>
      </w:r>
    </w:p>
    <w:p>
      <w:pPr>
        <w:pStyle w:val="BodyText"/>
      </w:pPr>
      <w:r>
        <w:t xml:space="preserve">The most important items will be:</w:t>
      </w:r>
    </w:p>
    <w:p>
      <w:pPr>
        <w:pStyle w:val="Compact"/>
        <w:numPr>
          <w:ilvl w:val="0"/>
          <w:numId w:val="1001"/>
        </w:numPr>
      </w:pPr>
      <w:r>
        <w:rPr>
          <w:b/>
          <w:bCs/>
        </w:rPr>
        <w:t xml:space="preserve">Permian inlet-volume growth despite Waha-driven producer curtailments</w:t>
      </w:r>
    </w:p>
    <w:p>
      <w:pPr>
        <w:pStyle w:val="Compact"/>
        <w:numPr>
          <w:ilvl w:val="0"/>
          <w:numId w:val="1001"/>
        </w:numPr>
      </w:pPr>
      <w:r>
        <w:rPr>
          <w:b/>
          <w:bCs/>
        </w:rPr>
        <w:t xml:space="preserve">The size and durability of natural-gas marketing profits</w:t>
      </w:r>
    </w:p>
    <w:p>
      <w:pPr>
        <w:pStyle w:val="Compact"/>
        <w:numPr>
          <w:ilvl w:val="0"/>
          <w:numId w:val="1001"/>
        </w:numPr>
      </w:pPr>
      <w:r>
        <w:rPr>
          <w:b/>
          <w:bCs/>
        </w:rPr>
        <w:t xml:space="preserve">Whether LPG exports reached the record level management anticipated</w:t>
      </w:r>
    </w:p>
    <w:p>
      <w:pPr>
        <w:pStyle w:val="Compact"/>
        <w:numPr>
          <w:ilvl w:val="0"/>
          <w:numId w:val="1001"/>
        </w:numPr>
      </w:pPr>
      <w:r>
        <w:rPr>
          <w:b/>
          <w:bCs/>
        </w:rPr>
        <w:t xml:space="preserve">A potential increase to the</w:t>
      </w:r>
      <w:r>
        <w:rPr>
          <w:b/>
          <w:bCs/>
        </w:rPr>
        <w:t xml:space="preserve"> </w:t>
      </w:r>
      <m:oMath>
        <m:r>
          <m:t>5.7</m:t>
        </m:r>
        <m:r>
          <m:rPr>
            <m:sty m:val="p"/>
          </m:rPr>
          <m:t>–</m:t>
        </m:r>
      </m:oMath>
      <w:r>
        <w:rPr>
          <w:b/>
          <w:bCs/>
        </w:rPr>
        <w:t xml:space="preserve">5.9 billion 2026 adjusted EBITDA outlook</w:t>
      </w:r>
    </w:p>
    <w:p>
      <w:pPr>
        <w:pStyle w:val="Compact"/>
        <w:numPr>
          <w:ilvl w:val="0"/>
          <w:numId w:val="1001"/>
        </w:numPr>
      </w:pPr>
      <w:r>
        <w:rPr>
          <w:b/>
          <w:bCs/>
        </w:rPr>
        <w:t xml:space="preserve">Execution of the unusually large $4.5 billion growth-capital program</w:t>
      </w:r>
    </w:p>
    <w:p>
      <w:pPr>
        <w:pStyle w:val="Compact"/>
        <w:numPr>
          <w:ilvl w:val="0"/>
          <w:numId w:val="1001"/>
        </w:numPr>
      </w:pPr>
      <w:r>
        <w:rPr>
          <w:b/>
          <w:bCs/>
        </w:rPr>
        <w:t xml:space="preserve">Balance-sheet and shareholder-return priorities as leverage remains near the upper half of Targa’s target range</w:t>
      </w:r>
    </w:p>
    <w:p>
      <w:pPr>
        <w:pStyle w:val="FirstParagraph"/>
      </w:pPr>
      <w:r>
        <w:t xml:space="preserve">A clean quarter with record exports, roughly 7 Bcf/d or better of Permian inlet volumes, and higher full-year guidance would reinforce the long-term “wellhead-to-water” growth thesis. A headline beat driven mainly by volatile marketing income, without stronger core volumes or guidance, would be less compelling.</w:t>
      </w:r>
    </w:p>
    <w:p>
      <w:r>
        <w:pict>
          <v:rect style="width:0;height:1.5pt" o:hralign="center" o:hrstd="t" o:hr="t"/>
        </w:pict>
      </w:r>
    </w:p>
    <w:bookmarkEnd w:id="9"/>
    <w:bookmarkStart w:id="10" w:name="starting-point"/>
    <w:p>
      <w:pPr>
        <w:pStyle w:val="Heading2"/>
      </w:pPr>
      <w:r>
        <w:t xml:space="preserve">Starting point</w:t>
      </w:r>
    </w:p>
    <w:p>
      <w:pPr>
        <w:pStyle w:val="FirstParagraph"/>
      </w:pPr>
      <w:r>
        <w:t xml:space="preserve">Targa’s first quarter established a high base: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Q1 2026 metric</w:t>
            </w:r>
          </w:p>
        </w:tc>
        <w:tc>
          <w:tcPr/>
          <w:p>
            <w:pPr>
              <w:pStyle w:val="Compact"/>
              <w:jc w:val="right"/>
            </w:pPr>
            <w:r>
              <w:t xml:space="preserve">Result</w:t>
            </w:r>
          </w:p>
        </w:tc>
      </w:tr>
      <w:tr>
        <w:tc>
          <w:tcPr/>
          <w:p>
            <w:pPr>
              <w:pStyle w:val="Compact"/>
            </w:pPr>
            <w:r>
              <w:t xml:space="preserve">Adjusted EBITDA</w:t>
            </w:r>
          </w:p>
        </w:tc>
        <w:tc>
          <w:tcPr/>
          <w:p>
            <w:pPr>
              <w:pStyle w:val="Compact"/>
              <w:jc w:val="right"/>
            </w:pPr>
            <w:r>
              <w:rPr>
                <w:b/>
                <w:bCs/>
              </w:rPr>
              <w:t xml:space="preserve">$1.403 billion</w:t>
            </w:r>
          </w:p>
        </w:tc>
      </w:tr>
      <w:tr>
        <w:tc>
          <w:tcPr/>
          <w:p>
            <w:pPr>
              <w:pStyle w:val="Compact"/>
            </w:pPr>
            <w:r>
              <w:t xml:space="preserve">Net income attributable to Targa</w:t>
            </w:r>
          </w:p>
        </w:tc>
        <w:tc>
          <w:tcPr/>
          <w:p>
            <w:pPr>
              <w:pStyle w:val="Compact"/>
              <w:jc w:val="right"/>
            </w:pPr>
            <w:r>
              <w:rPr>
                <w:b/>
                <w:bCs/>
              </w:rPr>
              <w:t xml:space="preserve">$480 million</w:t>
            </w:r>
          </w:p>
        </w:tc>
      </w:tr>
      <w:tr>
        <w:tc>
          <w:tcPr/>
          <w:p>
            <w:pPr>
              <w:pStyle w:val="Compact"/>
            </w:pPr>
            <w:r>
              <w:t xml:space="preserve">Permian inlet volumes</w:t>
            </w:r>
          </w:p>
        </w:tc>
        <w:tc>
          <w:tcPr/>
          <w:p>
            <w:pPr>
              <w:pStyle w:val="Compact"/>
              <w:jc w:val="right"/>
            </w:pPr>
            <w:r>
              <w:rPr>
                <w:b/>
                <w:bCs/>
              </w:rPr>
              <w:t xml:space="preserve">6.73 Bcf/d</w:t>
            </w:r>
          </w:p>
        </w:tc>
      </w:tr>
      <w:tr>
        <w:tc>
          <w:tcPr/>
          <w:p>
            <w:pPr>
              <w:pStyle w:val="Compact"/>
            </w:pPr>
            <w:r>
              <w:t xml:space="preserve">Permian NGL production</w:t>
            </w:r>
          </w:p>
        </w:tc>
        <w:tc>
          <w:tcPr/>
          <w:p>
            <w:pPr>
              <w:pStyle w:val="Compact"/>
              <w:jc w:val="right"/>
            </w:pPr>
            <w:r>
              <w:rPr>
                <w:b/>
                <w:bCs/>
              </w:rPr>
              <w:t xml:space="preserve">934 Mbbl/d</w:t>
            </w:r>
          </w:p>
        </w:tc>
      </w:tr>
      <w:tr>
        <w:tc>
          <w:tcPr/>
          <w:p>
            <w:pPr>
              <w:pStyle w:val="Compact"/>
            </w:pPr>
            <w:r>
              <w:t xml:space="preserve">NGL pipeline transportation</w:t>
            </w:r>
          </w:p>
        </w:tc>
        <w:tc>
          <w:tcPr/>
          <w:p>
            <w:pPr>
              <w:pStyle w:val="Compact"/>
              <w:jc w:val="right"/>
            </w:pPr>
            <w:r>
              <w:rPr>
                <w:b/>
                <w:bCs/>
              </w:rPr>
              <w:t xml:space="preserve">1.017 MMbbl/d</w:t>
            </w:r>
          </w:p>
        </w:tc>
      </w:tr>
      <w:tr>
        <w:tc>
          <w:tcPr/>
          <w:p>
            <w:pPr>
              <w:pStyle w:val="Compact"/>
            </w:pPr>
            <w:r>
              <w:t xml:space="preserve">Fractionation volumes</w:t>
            </w:r>
          </w:p>
        </w:tc>
        <w:tc>
          <w:tcPr/>
          <w:p>
            <w:pPr>
              <w:pStyle w:val="Compact"/>
              <w:jc w:val="right"/>
            </w:pPr>
            <w:r>
              <w:rPr>
                <w:b/>
                <w:bCs/>
              </w:rPr>
              <w:t xml:space="preserve">1.145 MMbbl/d</w:t>
            </w:r>
          </w:p>
        </w:tc>
      </w:tr>
      <w:tr>
        <w:tc>
          <w:tcPr/>
          <w:p>
            <w:pPr>
              <w:pStyle w:val="Compact"/>
            </w:pPr>
            <w:r>
              <w:t xml:space="preserve">LPG export volumes</w:t>
            </w:r>
          </w:p>
        </w:tc>
        <w:tc>
          <w:tcPr/>
          <w:p>
            <w:pPr>
              <w:pStyle w:val="Compact"/>
              <w:jc w:val="right"/>
            </w:pPr>
            <w:r>
              <w:rPr>
                <w:b/>
                <w:bCs/>
              </w:rPr>
              <w:t xml:space="preserve">437 Mbbl/d</w:t>
            </w:r>
          </w:p>
        </w:tc>
      </w:tr>
      <w:tr>
        <w:tc>
          <w:tcPr/>
          <w:p>
            <w:pPr>
              <w:pStyle w:val="Compact"/>
            </w:pPr>
            <w:r>
              <w:t xml:space="preserve">Growth capital expenditures</w:t>
            </w:r>
          </w:p>
        </w:tc>
        <w:tc>
          <w:tcPr/>
          <w:p>
            <w:pPr>
              <w:pStyle w:val="Compact"/>
              <w:jc w:val="right"/>
            </w:pPr>
            <w:r>
              <w:rPr>
                <w:b/>
                <w:bCs/>
              </w:rPr>
              <w:t xml:space="preserve">$914 million</w:t>
            </w:r>
          </w:p>
        </w:tc>
      </w:tr>
      <w:tr>
        <w:tc>
          <w:tcPr/>
          <w:p>
            <w:pPr>
              <w:pStyle w:val="Compact"/>
            </w:pPr>
            <w:r>
              <w:t xml:space="preserve">Pro forma leverage</w:t>
            </w:r>
          </w:p>
        </w:tc>
        <w:tc>
          <w:tcPr/>
          <w:p>
            <w:pPr>
              <w:pStyle w:val="Compact"/>
              <w:jc w:val="right"/>
            </w:pPr>
            <w:r>
              <w:rPr>
                <w:b/>
                <w:bCs/>
              </w:rPr>
              <w:t xml:space="preserve">~3.6x</w:t>
            </w:r>
          </w:p>
        </w:tc>
      </w:tr>
      <w:tr>
        <w:tc>
          <w:tcPr/>
          <w:p>
            <w:pPr>
              <w:pStyle w:val="Compact"/>
            </w:pPr>
            <w:r>
              <w:t xml:space="preserve">Available liquidity</w:t>
            </w:r>
          </w:p>
        </w:tc>
        <w:tc>
          <w:tcPr/>
          <w:p>
            <w:pPr>
              <w:pStyle w:val="Compact"/>
              <w:jc w:val="right"/>
            </w:pPr>
            <w:r>
              <w:rPr>
                <w:b/>
                <w:bCs/>
              </w:rPr>
              <w:t xml:space="preserve">$3.1 billion</w:t>
            </w:r>
          </w:p>
        </w:tc>
      </w:tr>
    </w:tbl>
    <w:p>
      <w:pPr>
        <w:pStyle w:val="BodyText"/>
      </w:pPr>
      <w:r>
        <w:t xml:space="preserve">Management raised its 2026 adjusted EBITDA outlook in May to</w:t>
      </w:r>
      <w:r>
        <w:t xml:space="preserve"> </w:t>
      </w:r>
      <m:oMath>
        <m:r>
          <m:t>5.7</m:t>
        </m:r>
        <m:r>
          <m:rPr>
            <m:sty m:val="p"/>
          </m:rPr>
          <m:t>–</m:t>
        </m:r>
      </m:oMath>
      <w:r>
        <w:rPr>
          <w:b/>
          <w:bCs/>
        </w:rPr>
        <w:t xml:space="preserve">5.9 billion</w:t>
      </w:r>
      <w:r>
        <w:t xml:space="preserve">, up</w:t>
      </w:r>
      <w:r>
        <w:t xml:space="preserve"> </w:t>
      </w:r>
      <m:oMath>
        <m:r>
          <m:t>300</m:t>
        </m:r>
        <m:r>
          <m:t>m</m:t>
        </m:r>
        <m:r>
          <m:t>i</m:t>
        </m:r>
        <m:r>
          <m:t>l</m:t>
        </m:r>
        <m:r>
          <m:t>l</m:t>
        </m:r>
        <m:r>
          <m:t>i</m:t>
        </m:r>
        <m:r>
          <m:t>o</m:t>
        </m:r>
        <m:r>
          <m:t>n</m:t>
        </m:r>
        <m:r>
          <m:t>a</m:t>
        </m:r>
        <m:r>
          <m:t>t</m:t>
        </m:r>
        <m:r>
          <m:t>t</m:t>
        </m:r>
        <m:r>
          <m:t>h</m:t>
        </m:r>
        <m:r>
          <m:t>e</m:t>
        </m:r>
        <m:r>
          <m:t>m</m:t>
        </m:r>
        <m:r>
          <m:t>i</m:t>
        </m:r>
        <m:r>
          <m:t>d</m:t>
        </m:r>
        <m:r>
          <m:t>p</m:t>
        </m:r>
        <m:r>
          <m:t>o</m:t>
        </m:r>
        <m:r>
          <m:t>i</m:t>
        </m:r>
        <m:r>
          <m:t>n</m:t>
        </m:r>
        <m:r>
          <m:t>t</m:t>
        </m:r>
        <m:r>
          <m:rPr>
            <m:sty m:val="p"/>
          </m:rPr>
          <m:t>.</m:t>
        </m:r>
        <m:r>
          <m:t>A</m:t>
        </m:r>
        <m:r>
          <m:t>f</m:t>
        </m:r>
        <m:r>
          <m:t>t</m:t>
        </m:r>
        <m:r>
          <m:t>e</m:t>
        </m:r>
        <m:r>
          <m:t>r</m:t>
        </m:r>
        <m:r>
          <m:t>t</m:t>
        </m:r>
        <m:r>
          <m:t>h</m:t>
        </m:r>
        <m:r>
          <m:t>e</m:t>
        </m:r>
        <m:r>
          <m:t>Q</m:t>
        </m:r>
        <m:r>
          <m:t>1</m:t>
        </m:r>
        <m:r>
          <m:t>r</m:t>
        </m:r>
        <m:r>
          <m:t>e</m:t>
        </m:r>
        <m:r>
          <m:t>s</m:t>
        </m:r>
        <m:r>
          <m:t>u</m:t>
        </m:r>
        <m:r>
          <m:t>l</m:t>
        </m:r>
        <m:r>
          <m:t>t</m:t>
        </m:r>
        <m:r>
          <m:rPr>
            <m:sty m:val="p"/>
          </m:rPr>
          <m:t>,</m:t>
        </m:r>
        <m:r>
          <m:t>t</m:t>
        </m:r>
        <m:r>
          <m:t>h</m:t>
        </m:r>
        <m:r>
          <m:t>e</m:t>
        </m:r>
        <m:r>
          <m:t>m</m:t>
        </m:r>
        <m:r>
          <m:t>i</m:t>
        </m:r>
        <m:r>
          <m:t>d</m:t>
        </m:r>
        <m:r>
          <m:t>p</m:t>
        </m:r>
        <m:r>
          <m:t>o</m:t>
        </m:r>
        <m:r>
          <m:t>i</m:t>
        </m:r>
        <m:r>
          <m:t>n</m:t>
        </m:r>
        <m:r>
          <m:t>t</m:t>
        </m:r>
        <m:r>
          <m:t>i</m:t>
        </m:r>
        <m:r>
          <m:t>m</m:t>
        </m:r>
        <m:r>
          <m:t>p</m:t>
        </m:r>
        <m:r>
          <m:t>l</m:t>
        </m:r>
        <m:r>
          <m:t>i</m:t>
        </m:r>
        <m:r>
          <m:t>e</m:t>
        </m:r>
        <m:r>
          <m:t>s</m:t>
        </m:r>
        <m:r>
          <m:t>a</m:t>
        </m:r>
        <m:r>
          <m:t>p</m:t>
        </m:r>
        <m:r>
          <m:t>p</m:t>
        </m:r>
        <m:r>
          <m:t>r</m:t>
        </m:r>
        <m:r>
          <m:t>o</m:t>
        </m:r>
        <m:r>
          <m:t>x</m:t>
        </m:r>
        <m:r>
          <m:t>i</m:t>
        </m:r>
        <m:r>
          <m:t>m</m:t>
        </m:r>
        <m:r>
          <m:t>a</m:t>
        </m:r>
        <m:r>
          <m:t>t</m:t>
        </m:r>
        <m:r>
          <m:t>e</m:t>
        </m:r>
        <m:r>
          <m:t>l</m:t>
        </m:r>
        <m:r>
          <m:t>y</m:t>
        </m:r>
        <m:r>
          <m:rPr>
            <m:sty m:val="p"/>
          </m:rPr>
          <m:t>*</m:t>
        </m:r>
        <m:r>
          <m:rPr>
            <m:sty m:val="p"/>
          </m:rPr>
          <m:t>*</m:t>
        </m:r>
      </m:oMath>
      <w:r>
        <w:t xml:space="preserve">4.40 billion of EBITDA over Q2–Q4**, or about</w:t>
      </w:r>
      <w:r>
        <w:t xml:space="preserve"> </w:t>
      </w:r>
      <w:r>
        <w:rPr>
          <w:b/>
          <w:bCs/>
        </w:rPr>
        <w:t xml:space="preserve">$1.47 billion per quarter on average</w:t>
      </w:r>
      <w:r>
        <w:t xml:space="preserve">.</w:t>
      </w:r>
    </w:p>
    <w:p>
      <w:pPr>
        <w:pStyle w:val="BodyText"/>
      </w:pPr>
      <w:r>
        <w:t xml:space="preserve">That is not a consensus estimate, but it is a useful guidepost. Given the sequential operational improvements anticipated for Q2, adjusted EBITDA materially below Q1’s $1.40 billion would likely require explanation. A result around or above the implied $1.47 billion quarterly run rate would be more consistent with the current outlook.</w:t>
      </w:r>
    </w:p>
    <w:p>
      <w:r>
        <w:pict>
          <v:rect style="width:0;height:1.5pt" o:hralign="center" o:hrstd="t" o:hr="t"/>
        </w:pict>
      </w:r>
    </w:p>
    <w:bookmarkEnd w:id="10"/>
    <w:bookmarkStart w:id="13" w:name="X9a6a0d20e5aead13950bee1ddadf4b72220a518"/>
    <w:p>
      <w:pPr>
        <w:pStyle w:val="Heading2"/>
      </w:pPr>
      <w:r>
        <w:t xml:space="preserve">1. Permian volumes are the most important operating KPI</w:t>
      </w:r>
    </w:p>
    <w:p>
      <w:pPr>
        <w:pStyle w:val="FirstParagraph"/>
      </w:pPr>
      <w:r>
        <w:t xml:space="preserve">Management said in May that current Permian volumes were already</w:t>
      </w:r>
      <w:r>
        <w:t xml:space="preserve"> </w:t>
      </w:r>
      <w:r>
        <w:rPr>
          <w:b/>
          <w:bCs/>
        </w:rPr>
        <w:t xml:space="preserve">more than 250 MMcf/d above the Q1 average</w:t>
      </w:r>
      <w:r>
        <w:t xml:space="preserve">, despite approximately</w:t>
      </w:r>
      <w:r>
        <w:t xml:space="preserve"> </w:t>
      </w:r>
      <w:r>
        <w:rPr>
          <w:b/>
          <w:bCs/>
        </w:rPr>
        <w:t xml:space="preserve">200–400 MMcf/d of producer shut-ins on any given day</w:t>
      </w:r>
      <w:r>
        <w:t xml:space="preserve"> </w:t>
      </w:r>
      <w:r>
        <w:t xml:space="preserve">caused by weak Waha gas prices.</w:t>
      </w:r>
    </w:p>
    <w:p>
      <w:pPr>
        <w:pStyle w:val="BodyText"/>
      </w:pPr>
      <w:r>
        <w:t xml:space="preserve">That points to a reported Q2 average approaching</w:t>
      </w:r>
      <w:r>
        <w:t xml:space="preserve"> </w:t>
      </w:r>
      <w:r>
        <w:rPr>
          <w:b/>
          <w:bCs/>
        </w:rPr>
        <w:t xml:space="preserve">7 Bcf/d</w:t>
      </w:r>
      <w:r>
        <w:t xml:space="preserve">, although the exact number will depend on the timing and severity of curtailments and pipeline maintenance.</w:t>
      </w:r>
    </w:p>
    <w:bookmarkStart w:id="11" w:name="what-would-be-encouraging"/>
    <w:p>
      <w:pPr>
        <w:pStyle w:val="Heading3"/>
      </w:pPr>
      <w:r>
        <w:t xml:space="preserve">What would be encouraging</w:t>
      </w:r>
    </w:p>
    <w:p>
      <w:pPr>
        <w:pStyle w:val="Compact"/>
        <w:numPr>
          <w:ilvl w:val="0"/>
          <w:numId w:val="1002"/>
        </w:numPr>
      </w:pPr>
      <w:r>
        <w:t xml:space="preserve">Permian inlet volumes near or above</w:t>
      </w:r>
      <w:r>
        <w:t xml:space="preserve"> </w:t>
      </w:r>
      <w:r>
        <w:rPr>
          <w:b/>
          <w:bCs/>
        </w:rPr>
        <w:t xml:space="preserve">7 Bcf/d</w:t>
      </w:r>
    </w:p>
    <w:p>
      <w:pPr>
        <w:pStyle w:val="Compact"/>
        <w:numPr>
          <w:ilvl w:val="0"/>
          <w:numId w:val="1002"/>
        </w:numPr>
      </w:pPr>
      <w:r>
        <w:t xml:space="preserve">Reaffirmation of</w:t>
      </w:r>
      <w:r>
        <w:t xml:space="preserve"> </w:t>
      </w:r>
      <w:r>
        <w:rPr>
          <w:b/>
          <w:bCs/>
        </w:rPr>
        <w:t xml:space="preserve">low-double-digit Permian volume growth for 2026</w:t>
      </w:r>
    </w:p>
    <w:p>
      <w:pPr>
        <w:pStyle w:val="Compact"/>
        <w:numPr>
          <w:ilvl w:val="0"/>
          <w:numId w:val="1002"/>
        </w:numPr>
      </w:pPr>
      <w:r>
        <w:t xml:space="preserve">Evidence that underlying production exceeded reported throughput because of temporary shut-ins</w:t>
      </w:r>
    </w:p>
    <w:p>
      <w:pPr>
        <w:pStyle w:val="Compact"/>
        <w:numPr>
          <w:ilvl w:val="0"/>
          <w:numId w:val="1002"/>
        </w:numPr>
      </w:pPr>
      <w:r>
        <w:t xml:space="preserve">Continued outperformance in the Delaware Basin, including sour-gas volumes</w:t>
      </w:r>
    </w:p>
    <w:p>
      <w:pPr>
        <w:pStyle w:val="Compact"/>
        <w:numPr>
          <w:ilvl w:val="0"/>
          <w:numId w:val="1002"/>
        </w:numPr>
      </w:pPr>
      <w:r>
        <w:t xml:space="preserve">Confidence that curtailed gas will return when additional takeaway capacity enters service</w:t>
      </w:r>
    </w:p>
    <w:bookmarkEnd w:id="11"/>
    <w:bookmarkStart w:id="12" w:name="what-would-be-concerning"/>
    <w:p>
      <w:pPr>
        <w:pStyle w:val="Heading3"/>
      </w:pPr>
      <w:r>
        <w:t xml:space="preserve">What would be concerning</w:t>
      </w:r>
    </w:p>
    <w:p>
      <w:pPr>
        <w:pStyle w:val="Compact"/>
        <w:numPr>
          <w:ilvl w:val="0"/>
          <w:numId w:val="1003"/>
        </w:numPr>
      </w:pPr>
      <w:r>
        <w:t xml:space="preserve">Reported volumes failing to improve meaningfully from 6.73 Bcf/d</w:t>
      </w:r>
    </w:p>
    <w:p>
      <w:pPr>
        <w:pStyle w:val="Compact"/>
        <w:numPr>
          <w:ilvl w:val="0"/>
          <w:numId w:val="1003"/>
        </w:numPr>
      </w:pPr>
      <w:r>
        <w:t xml:space="preserve">A reduction in the full-year volume forecast</w:t>
      </w:r>
    </w:p>
    <w:p>
      <w:pPr>
        <w:pStyle w:val="Compact"/>
        <w:numPr>
          <w:ilvl w:val="0"/>
          <w:numId w:val="1003"/>
        </w:numPr>
      </w:pPr>
      <w:r>
        <w:t xml:space="preserve">Evidence that shut-ins reflect weaker producer activity rather than temporary price-based decisions</w:t>
      </w:r>
    </w:p>
    <w:p>
      <w:pPr>
        <w:pStyle w:val="Compact"/>
        <w:numPr>
          <w:ilvl w:val="0"/>
          <w:numId w:val="1003"/>
        </w:numPr>
      </w:pPr>
      <w:r>
        <w:t xml:space="preserve">Delays to new Permian gas-pipeline capacity</w:t>
      </w:r>
    </w:p>
    <w:p>
      <w:pPr>
        <w:pStyle w:val="FirstParagraph"/>
      </w:pPr>
      <w:r>
        <w:t xml:space="preserve">Targa’s exposure to Waha weakness is nuanced. Negative or deeply discounted Waha prices can induce customer curtailments, reducing gathering and processing volumes. At the same time, Targa’s transportation portfolio can create significant marketing and basis-optimization profits. Investors should distinguish between the</w:t>
      </w:r>
      <w:r>
        <w:t xml:space="preserve"> </w:t>
      </w:r>
      <w:r>
        <w:rPr>
          <w:b/>
          <w:bCs/>
        </w:rPr>
        <w:t xml:space="preserve">volume headwind</w:t>
      </w:r>
      <w:r>
        <w:t xml:space="preserve"> </w:t>
      </w:r>
      <w:r>
        <w:t xml:space="preserve">and the potentially offsetting but less repeatable</w:t>
      </w:r>
      <w:r>
        <w:t xml:space="preserve"> </w:t>
      </w:r>
      <w:r>
        <w:rPr>
          <w:b/>
          <w:bCs/>
        </w:rPr>
        <w:t xml:space="preserve">marketing benefit</w:t>
      </w:r>
      <w:r>
        <w:t xml:space="preserve">.</w:t>
      </w:r>
    </w:p>
    <w:p>
      <w:r>
        <w:pict>
          <v:rect style="width:0;height:1.5pt" o:hralign="center" o:hrstd="t" o:hr="t"/>
        </w:pict>
      </w:r>
    </w:p>
    <w:bookmarkEnd w:id="12"/>
    <w:bookmarkEnd w:id="13"/>
    <w:bookmarkStart w:id="14" w:name="Xe696fe67d494bf81cbd255eb80d3b703590a5e8"/>
    <w:p>
      <w:pPr>
        <w:pStyle w:val="Heading2"/>
      </w:pPr>
      <w:r>
        <w:t xml:space="preserve">2. Marketing profits could drive the beat—but earnings quality matters</w:t>
      </w:r>
    </w:p>
    <w:p>
      <w:pPr>
        <w:pStyle w:val="FirstParagraph"/>
      </w:pPr>
      <w:r>
        <w:t xml:space="preserve">Management attributed a meaningful portion of its May guidance increase to natural-gas marketing and optimization opportunities. At the time, it said the revised outlook included realized results through April, visibility into May, and relatively modest assumptions thereafter.</w:t>
      </w:r>
    </w:p>
    <w:p>
      <w:pPr>
        <w:pStyle w:val="BodyText"/>
      </w:pPr>
      <w:r>
        <w:t xml:space="preserve">That leaves room for another guidance increase if wide regional gas-price differentials persisted through the rest of Q2.</w:t>
      </w:r>
    </w:p>
    <w:p>
      <w:pPr>
        <w:pStyle w:val="BodyText"/>
      </w:pPr>
      <w:r>
        <w:t xml:space="preserve">However, the market is likely to focus on the composition of any beat:</w:t>
      </w:r>
    </w:p>
    <w:p>
      <w:pPr>
        <w:pStyle w:val="Compact"/>
        <w:numPr>
          <w:ilvl w:val="0"/>
          <w:numId w:val="1004"/>
        </w:numPr>
      </w:pPr>
      <w:r>
        <w:rPr>
          <w:b/>
          <w:bCs/>
        </w:rPr>
        <w:t xml:space="preserve">High-quality:</w:t>
      </w:r>
      <w:r>
        <w:t xml:space="preserve"> </w:t>
      </w:r>
      <w:r>
        <w:t xml:space="preserve">Fee-based Permian volume growth, higher transportation and fractionation throughput, contracted export growth</w:t>
      </w:r>
    </w:p>
    <w:p>
      <w:pPr>
        <w:pStyle w:val="Compact"/>
        <w:numPr>
          <w:ilvl w:val="0"/>
          <w:numId w:val="1004"/>
        </w:numPr>
      </w:pPr>
      <w:r>
        <w:rPr>
          <w:b/>
          <w:bCs/>
        </w:rPr>
        <w:t xml:space="preserve">Lower-quality or less repeatable:</w:t>
      </w:r>
      <w:r>
        <w:t xml:space="preserve"> </w:t>
      </w:r>
      <w:r>
        <w:t xml:space="preserve">Exceptional Waha basis optimization and spot marketing profits</w:t>
      </w:r>
    </w:p>
    <w:p>
      <w:pPr>
        <w:pStyle w:val="FirstParagraph"/>
      </w:pPr>
      <w:r>
        <w:t xml:space="preserve">The best outcome would be strong marketing income</w:t>
      </w:r>
      <w:r>
        <w:t xml:space="preserve"> </w:t>
      </w:r>
      <w:r>
        <w:rPr>
          <w:b/>
          <w:bCs/>
        </w:rPr>
        <w:t xml:space="preserve">alongside</w:t>
      </w:r>
      <w:r>
        <w:t xml:space="preserve"> </w:t>
      </w:r>
      <w:r>
        <w:t xml:space="preserve">improving core operating volumes. If management raises guidance, investors should listen for how much comes from repeatable G&amp;P and downstream growth versus temporary optimization.</w:t>
      </w:r>
    </w:p>
    <w:p>
      <w:pPr>
        <w:pStyle w:val="BodyText"/>
      </w:pPr>
      <w:r>
        <w:t xml:space="preserve">GAAP revenue and EPS may also be noisy because derivatives not designated for hedge accounting are marked to market through earnings. In Q1, Targa reported a</w:t>
      </w:r>
      <w:r>
        <w:t xml:space="preserve"> </w:t>
      </w:r>
      <w:r>
        <w:rPr>
          <w:b/>
          <w:bCs/>
        </w:rPr>
        <w:t xml:space="preserve">$110 million loss in “Other” operating margin</w:t>
      </w:r>
      <w:r>
        <w:t xml:space="preserve"> </w:t>
      </w:r>
      <w:r>
        <w:t xml:space="preserve">and recognized substantial non-cash derivative losses. Adjusted EBITDA and segment adjusted operating margins are consequently better indicators of underlying performance than headline revenue alone.</w:t>
      </w:r>
    </w:p>
    <w:p>
      <w:r>
        <w:pict>
          <v:rect style="width:0;height:1.5pt" o:hralign="center" o:hrstd="t" o:hr="t"/>
        </w:pict>
      </w:r>
    </w:p>
    <w:bookmarkEnd w:id="14"/>
    <w:bookmarkStart w:id="15" w:name="X90471a711defb1eee775465320857170e05e38d"/>
    <w:p>
      <w:pPr>
        <w:pStyle w:val="Heading2"/>
      </w:pPr>
      <w:r>
        <w:t xml:space="preserve">3. LPG exports should rebound sharply</w:t>
      </w:r>
    </w:p>
    <w:p>
      <w:pPr>
        <w:pStyle w:val="FirstParagraph"/>
      </w:pPr>
      <w:r>
        <w:t xml:space="preserve">Q1 export volumes were held to</w:t>
      </w:r>
      <w:r>
        <w:t xml:space="preserve"> </w:t>
      </w:r>
      <w:r>
        <w:rPr>
          <w:b/>
          <w:bCs/>
        </w:rPr>
        <w:t xml:space="preserve">437 Mbbl/d</w:t>
      </w:r>
      <w:r>
        <w:t xml:space="preserve">, or approximately</w:t>
      </w:r>
      <w:r>
        <w:t xml:space="preserve"> </w:t>
      </w:r>
      <w:r>
        <w:rPr>
          <w:b/>
          <w:bCs/>
        </w:rPr>
        <w:t xml:space="preserve">13.1 million barrels per month</w:t>
      </w:r>
      <w:r>
        <w:t xml:space="preserve">, because of an unplanned outage at part of the Galena Park facility late in the quarter and early in Q2.</w:t>
      </w:r>
    </w:p>
    <w:p>
      <w:pPr>
        <w:pStyle w:val="BodyText"/>
      </w:pPr>
      <w:r>
        <w:t xml:space="preserve">Management subsequently said it expected</w:t>
      </w:r>
      <w:r>
        <w:t xml:space="preserve"> </w:t>
      </w:r>
      <w:r>
        <w:rPr>
          <w:b/>
          <w:bCs/>
        </w:rPr>
        <w:t xml:space="preserve">record Targa export loadings in Q2</w:t>
      </w:r>
      <w:r>
        <w:t xml:space="preserve">, supported by:</w:t>
      </w:r>
    </w:p>
    <w:p>
      <w:pPr>
        <w:pStyle w:val="Compact"/>
        <w:numPr>
          <w:ilvl w:val="0"/>
          <w:numId w:val="1005"/>
        </w:numPr>
      </w:pPr>
      <w:r>
        <w:t xml:space="preserve">Resolution of the outage</w:t>
      </w:r>
    </w:p>
    <w:p>
      <w:pPr>
        <w:pStyle w:val="Compact"/>
        <w:numPr>
          <w:ilvl w:val="0"/>
          <w:numId w:val="1005"/>
        </w:numPr>
      </w:pPr>
      <w:r>
        <w:t xml:space="preserve">Strong global LPG demand</w:t>
      </w:r>
    </w:p>
    <w:p>
      <w:pPr>
        <w:pStyle w:val="Compact"/>
        <w:numPr>
          <w:ilvl w:val="0"/>
          <w:numId w:val="1005"/>
        </w:numPr>
      </w:pPr>
      <w:r>
        <w:t xml:space="preserve">Additional butane demand</w:t>
      </w:r>
    </w:p>
    <w:p>
      <w:pPr>
        <w:pStyle w:val="Compact"/>
        <w:numPr>
          <w:ilvl w:val="0"/>
          <w:numId w:val="1005"/>
        </w:numPr>
      </w:pPr>
      <w:r>
        <w:t xml:space="preserve">Product-mix optimization that creates room for incremental cargoes</w:t>
      </w:r>
    </w:p>
    <w:p>
      <w:pPr>
        <w:pStyle w:val="Compact"/>
        <w:numPr>
          <w:ilvl w:val="0"/>
          <w:numId w:val="1005"/>
        </w:numPr>
      </w:pPr>
      <w:r>
        <w:t xml:space="preserve">New spot and contracted export volumes</w:t>
      </w:r>
    </w:p>
    <w:p>
      <w:pPr>
        <w:pStyle w:val="FirstParagraph"/>
      </w:pPr>
      <w:r>
        <w:t xml:space="preserve">The comparison should therefore be favorable. Anything short of a clear sequential rebound would be disappointing unless explained by vessel timing or another temporary operational issue.</w:t>
      </w:r>
    </w:p>
    <w:p>
      <w:pPr>
        <w:pStyle w:val="BodyText"/>
      </w:pPr>
      <w:r>
        <w:t xml:space="preserve">More important than one quarter’s cargo schedule will be commentary on:</w:t>
      </w:r>
    </w:p>
    <w:p>
      <w:pPr>
        <w:pStyle w:val="Compact"/>
        <w:numPr>
          <w:ilvl w:val="0"/>
          <w:numId w:val="1006"/>
        </w:numPr>
      </w:pPr>
      <w:r>
        <w:t xml:space="preserve">New multiyear export contracts</w:t>
      </w:r>
    </w:p>
    <w:p>
      <w:pPr>
        <w:pStyle w:val="Compact"/>
        <w:numPr>
          <w:ilvl w:val="0"/>
          <w:numId w:val="1006"/>
        </w:numPr>
      </w:pPr>
      <w:r>
        <w:t xml:space="preserve">Pricing and contract duration</w:t>
      </w:r>
    </w:p>
    <w:p>
      <w:pPr>
        <w:pStyle w:val="Compact"/>
        <w:numPr>
          <w:ilvl w:val="0"/>
          <w:numId w:val="1006"/>
        </w:numPr>
      </w:pPr>
      <w:r>
        <w:t xml:space="preserve">Butane versus propane demand</w:t>
      </w:r>
    </w:p>
    <w:p>
      <w:pPr>
        <w:pStyle w:val="Compact"/>
        <w:numPr>
          <w:ilvl w:val="0"/>
          <w:numId w:val="1006"/>
        </w:numPr>
      </w:pPr>
      <w:r>
        <w:t xml:space="preserve">Whether further Galena Park chilling capacity is being considered</w:t>
      </w:r>
    </w:p>
    <w:p>
      <w:pPr>
        <w:pStyle w:val="Compact"/>
        <w:numPr>
          <w:ilvl w:val="0"/>
          <w:numId w:val="1006"/>
        </w:numPr>
      </w:pPr>
      <w:r>
        <w:t xml:space="preserve">Supply availability from Targa’s expanding Permian system</w:t>
      </w:r>
    </w:p>
    <w:p>
      <w:pPr>
        <w:pStyle w:val="FirstParagraph"/>
      </w:pPr>
      <w:r>
        <w:t xml:space="preserve">The planned Galena Park expansion is expected to increase effective capacity to as much as</w:t>
      </w:r>
      <w:r>
        <w:t xml:space="preserve"> </w:t>
      </w:r>
      <w:r>
        <w:rPr>
          <w:b/>
          <w:bCs/>
        </w:rPr>
        <w:t xml:space="preserve">19 million barrels per month in Q3 2027</w:t>
      </w:r>
      <w:r>
        <w:t xml:space="preserve">. Strong contracting today would improve confidence that this capacity will be well utilized when completed.</w:t>
      </w:r>
    </w:p>
    <w:p>
      <w:r>
        <w:pict>
          <v:rect style="width:0;height:1.5pt" o:hralign="center" o:hrstd="t" o:hr="t"/>
        </w:pict>
      </w:r>
    </w:p>
    <w:bookmarkEnd w:id="15"/>
    <w:bookmarkStart w:id="16" w:name="Xa6357ef5a631df5086735674a7860b939cdb218"/>
    <w:p>
      <w:pPr>
        <w:pStyle w:val="Heading2"/>
      </w:pPr>
      <w:r>
        <w:t xml:space="preserve">4. New assets should produce visible sequential growth</w:t>
      </w:r>
    </w:p>
    <w:p>
      <w:pPr>
        <w:pStyle w:val="FirstParagraph"/>
      </w:pPr>
      <w:r>
        <w:t xml:space="preserve">Several projects either began service late in Q1 or during Q2:</w:t>
      </w:r>
    </w:p>
    <w:p>
      <w:pPr>
        <w:pStyle w:val="Compact"/>
        <w:numPr>
          <w:ilvl w:val="0"/>
          <w:numId w:val="1007"/>
        </w:numPr>
      </w:pPr>
      <w:r>
        <w:rPr>
          <w:b/>
          <w:bCs/>
        </w:rPr>
        <w:t xml:space="preserve">Falcon II processing plant:</w:t>
      </w:r>
      <w:r>
        <w:t xml:space="preserve"> </w:t>
      </w:r>
      <w:r>
        <w:t xml:space="preserve">Began service in February</w:t>
      </w:r>
    </w:p>
    <w:p>
      <w:pPr>
        <w:pStyle w:val="Compact"/>
        <w:numPr>
          <w:ilvl w:val="0"/>
          <w:numId w:val="1007"/>
        </w:numPr>
      </w:pPr>
      <w:r>
        <w:rPr>
          <w:b/>
          <w:bCs/>
        </w:rPr>
        <w:t xml:space="preserve">East Pembrook processing plant:</w:t>
      </w:r>
      <w:r>
        <w:t xml:space="preserve"> </w:t>
      </w:r>
      <w:r>
        <w:t xml:space="preserve">Began service in late March</w:t>
      </w:r>
    </w:p>
    <w:p>
      <w:pPr>
        <w:pStyle w:val="Compact"/>
        <w:numPr>
          <w:ilvl w:val="0"/>
          <w:numId w:val="1007"/>
        </w:numPr>
      </w:pPr>
      <w:r>
        <w:rPr>
          <w:b/>
          <w:bCs/>
        </w:rPr>
        <w:t xml:space="preserve">Train 11 fractionator:</w:t>
      </w:r>
      <w:r>
        <w:t xml:space="preserve"> </w:t>
      </w:r>
      <w:r>
        <w:t xml:space="preserve">Began service in April</w:t>
      </w:r>
    </w:p>
    <w:p>
      <w:pPr>
        <w:pStyle w:val="Compact"/>
        <w:numPr>
          <w:ilvl w:val="0"/>
          <w:numId w:val="1007"/>
        </w:numPr>
      </w:pPr>
      <w:r>
        <w:rPr>
          <w:b/>
          <w:bCs/>
        </w:rPr>
        <w:t xml:space="preserve">Delaware Express NGL pipeline expansion:</w:t>
      </w:r>
      <w:r>
        <w:t xml:space="preserve"> </w:t>
      </w:r>
      <w:r>
        <w:t xml:space="preserve">Entered startup in May</w:t>
      </w:r>
    </w:p>
    <w:p>
      <w:pPr>
        <w:pStyle w:val="FirstParagraph"/>
      </w:pPr>
      <w:r>
        <w:t xml:space="preserve">Q2 should therefore include a fuller contribution from Falcon II and East Pembrook, plus the initial contribution from Train 11 and Delaware Express.</w:t>
      </w:r>
    </w:p>
    <w:p>
      <w:pPr>
        <w:pStyle w:val="BodyText"/>
      </w:pPr>
      <w:r>
        <w:t xml:space="preserve">Investors should look for:</w:t>
      </w:r>
    </w:p>
    <w:p>
      <w:pPr>
        <w:pStyle w:val="Compact"/>
        <w:numPr>
          <w:ilvl w:val="0"/>
          <w:numId w:val="1008"/>
        </w:numPr>
      </w:pPr>
      <w:r>
        <w:t xml:space="preserve">Higher G&amp;P fee margin from the new plants</w:t>
      </w:r>
    </w:p>
    <w:p>
      <w:pPr>
        <w:pStyle w:val="Compact"/>
        <w:numPr>
          <w:ilvl w:val="0"/>
          <w:numId w:val="1008"/>
        </w:numPr>
      </w:pPr>
      <w:r>
        <w:t xml:space="preserve">Fractionation volumes above Q1’s record 1.145 MMbbl/d</w:t>
      </w:r>
    </w:p>
    <w:p>
      <w:pPr>
        <w:pStyle w:val="Compact"/>
        <w:numPr>
          <w:ilvl w:val="0"/>
          <w:numId w:val="1008"/>
        </w:numPr>
      </w:pPr>
      <w:r>
        <w:t xml:space="preserve">Reduced reliance on third-party NGL offloads</w:t>
      </w:r>
    </w:p>
    <w:p>
      <w:pPr>
        <w:pStyle w:val="Compact"/>
        <w:numPr>
          <w:ilvl w:val="0"/>
          <w:numId w:val="1008"/>
        </w:numPr>
      </w:pPr>
      <w:r>
        <w:t xml:space="preserve">Confirmation that new capacity is filling quickly</w:t>
      </w:r>
    </w:p>
    <w:p>
      <w:pPr>
        <w:pStyle w:val="Compact"/>
        <w:numPr>
          <w:ilvl w:val="0"/>
          <w:numId w:val="1008"/>
        </w:numPr>
      </w:pPr>
      <w:r>
        <w:t xml:space="preserve">No material startup or operating-cost problems</w:t>
      </w:r>
    </w:p>
    <w:p>
      <w:pPr>
        <w:pStyle w:val="FirstParagraph"/>
      </w:pPr>
      <w:r>
        <w:t xml:space="preserve">Targa has emphasized that all 27 of its major projects completed over the prior six years came online on time or early. Maintaining that record is particularly important now because the company is simultaneously building processing plants, fractionators, NGL pipelines, export infrastructure and residue-gas pipelines.</w:t>
      </w:r>
    </w:p>
    <w:p>
      <w:r>
        <w:pict>
          <v:rect style="width:0;height:1.5pt" o:hralign="center" o:hrstd="t" o:hr="t"/>
        </w:pict>
      </w:r>
    </w:p>
    <w:bookmarkEnd w:id="16"/>
    <w:bookmarkStart w:id="20" w:name="Xc77690255d7ebc442bf41d931ad45e49764adbe"/>
    <w:p>
      <w:pPr>
        <w:pStyle w:val="Heading2"/>
      </w:pPr>
      <w:r>
        <w:t xml:space="preserve">5. Guidance is likely to determine the stock reaction</w:t>
      </w:r>
    </w:p>
    <w:p>
      <w:pPr>
        <w:pStyle w:val="FirstParagraph"/>
      </w:pPr>
      <w:r>
        <w:t xml:space="preserve">The current full-year adjusted EBITDA range is</w:t>
      </w:r>
      <w:r>
        <w:t xml:space="preserve"> </w:t>
      </w:r>
      <m:oMath>
        <m:r>
          <m:t>5.7</m:t>
        </m:r>
        <m:r>
          <m:rPr>
            <m:sty m:val="p"/>
          </m:rPr>
          <m:t>–</m:t>
        </m:r>
      </m:oMath>
      <w:r>
        <w:rPr>
          <w:b/>
          <w:bCs/>
        </w:rPr>
        <w:t xml:space="preserve">5.9 billion</w:t>
      </w:r>
      <w:r>
        <w:t xml:space="preserve">, versus Q1 adjusted EBITDA of $1.403 billion.</w:t>
      </w:r>
    </w:p>
    <w:bookmarkStart w:id="17" w:name="bull-case"/>
    <w:p>
      <w:pPr>
        <w:pStyle w:val="Heading3"/>
      </w:pPr>
      <w:r>
        <w:t xml:space="preserve">Bull case</w:t>
      </w:r>
    </w:p>
    <w:p>
      <w:pPr>
        <w:pStyle w:val="Compact"/>
        <w:numPr>
          <w:ilvl w:val="0"/>
          <w:numId w:val="1009"/>
        </w:numPr>
      </w:pPr>
      <w:r>
        <w:t xml:space="preserve">Q2 adjusted EBITDA around or above the annualized guidance run rate</w:t>
      </w:r>
    </w:p>
    <w:p>
      <w:pPr>
        <w:pStyle w:val="Compact"/>
        <w:numPr>
          <w:ilvl w:val="0"/>
          <w:numId w:val="1009"/>
        </w:numPr>
      </w:pPr>
      <w:r>
        <w:t xml:space="preserve">Record LPG exports</w:t>
      </w:r>
    </w:p>
    <w:p>
      <w:pPr>
        <w:pStyle w:val="Compact"/>
        <w:numPr>
          <w:ilvl w:val="0"/>
          <w:numId w:val="1009"/>
        </w:numPr>
      </w:pPr>
      <w:r>
        <w:t xml:space="preserve">Permian volumes around or above 7 Bcf/d</w:t>
      </w:r>
    </w:p>
    <w:p>
      <w:pPr>
        <w:pStyle w:val="Compact"/>
        <w:numPr>
          <w:ilvl w:val="0"/>
          <w:numId w:val="1009"/>
        </w:numPr>
      </w:pPr>
      <w:r>
        <w:t xml:space="preserve">2026 EBITDA guidance raised above the existing range</w:t>
      </w:r>
    </w:p>
    <w:p>
      <w:pPr>
        <w:pStyle w:val="Compact"/>
        <w:numPr>
          <w:ilvl w:val="0"/>
          <w:numId w:val="1009"/>
        </w:numPr>
      </w:pPr>
      <w:r>
        <w:t xml:space="preserve">Growth capital remains near $4.5 billion</w:t>
      </w:r>
    </w:p>
    <w:p>
      <w:pPr>
        <w:pStyle w:val="Compact"/>
        <w:numPr>
          <w:ilvl w:val="0"/>
          <w:numId w:val="1009"/>
        </w:numPr>
      </w:pPr>
      <w:r>
        <w:t xml:space="preserve">Management identifies upside from both core volumes and marketing</w:t>
      </w:r>
    </w:p>
    <w:bookmarkEnd w:id="17"/>
    <w:bookmarkStart w:id="18" w:name="base-case"/>
    <w:p>
      <w:pPr>
        <w:pStyle w:val="Heading3"/>
      </w:pPr>
      <w:r>
        <w:t xml:space="preserve">Base case</w:t>
      </w:r>
    </w:p>
    <w:p>
      <w:pPr>
        <w:pStyle w:val="Compact"/>
        <w:numPr>
          <w:ilvl w:val="0"/>
          <w:numId w:val="1010"/>
        </w:numPr>
      </w:pPr>
      <w:r>
        <w:t xml:space="preserve">Solid sequential EBITDA improvement</w:t>
      </w:r>
    </w:p>
    <w:p>
      <w:pPr>
        <w:pStyle w:val="Compact"/>
        <w:numPr>
          <w:ilvl w:val="0"/>
          <w:numId w:val="1010"/>
        </w:numPr>
      </w:pPr>
      <w:r>
        <w:t xml:space="preserve">Permian and downstream volumes rise despite curtailments</w:t>
      </w:r>
    </w:p>
    <w:p>
      <w:pPr>
        <w:pStyle w:val="Compact"/>
        <w:numPr>
          <w:ilvl w:val="0"/>
          <w:numId w:val="1010"/>
        </w:numPr>
      </w:pPr>
      <w:r>
        <w:t xml:space="preserve">Guidance is maintained, with management indicating a bias toward the upper half</w:t>
      </w:r>
    </w:p>
    <w:p>
      <w:pPr>
        <w:pStyle w:val="Compact"/>
        <w:numPr>
          <w:ilvl w:val="0"/>
          <w:numId w:val="1010"/>
        </w:numPr>
      </w:pPr>
      <w:r>
        <w:t xml:space="preserve">Marketing remains strong but begins to normalize later in the year</w:t>
      </w:r>
    </w:p>
    <w:bookmarkEnd w:id="18"/>
    <w:bookmarkStart w:id="19" w:name="bear-case"/>
    <w:p>
      <w:pPr>
        <w:pStyle w:val="Heading3"/>
      </w:pPr>
      <w:r>
        <w:t xml:space="preserve">Bear case</w:t>
      </w:r>
    </w:p>
    <w:p>
      <w:pPr>
        <w:pStyle w:val="Compact"/>
        <w:numPr>
          <w:ilvl w:val="0"/>
          <w:numId w:val="1011"/>
        </w:numPr>
      </w:pPr>
      <w:r>
        <w:t xml:space="preserve">Limited sequential EBITDA growth</w:t>
      </w:r>
    </w:p>
    <w:p>
      <w:pPr>
        <w:pStyle w:val="Compact"/>
        <w:numPr>
          <w:ilvl w:val="0"/>
          <w:numId w:val="1011"/>
        </w:numPr>
      </w:pPr>
      <w:r>
        <w:t xml:space="preserve">Permian curtailments offset most underlying production growth</w:t>
      </w:r>
    </w:p>
    <w:p>
      <w:pPr>
        <w:pStyle w:val="Compact"/>
        <w:numPr>
          <w:ilvl w:val="0"/>
          <w:numId w:val="1011"/>
        </w:numPr>
      </w:pPr>
      <w:r>
        <w:t xml:space="preserve">Exports fail to reach a record</w:t>
      </w:r>
    </w:p>
    <w:p>
      <w:pPr>
        <w:pStyle w:val="Compact"/>
        <w:numPr>
          <w:ilvl w:val="0"/>
          <w:numId w:val="1011"/>
        </w:numPr>
      </w:pPr>
      <w:r>
        <w:t xml:space="preserve">Guidance is maintained only because of marketing profits, while core volume expectations weaken</w:t>
      </w:r>
    </w:p>
    <w:p>
      <w:pPr>
        <w:pStyle w:val="Compact"/>
        <w:numPr>
          <w:ilvl w:val="0"/>
          <w:numId w:val="1011"/>
        </w:numPr>
      </w:pPr>
      <w:r>
        <w:t xml:space="preserve">Capex rises or project schedules slip</w:t>
      </w:r>
    </w:p>
    <w:p>
      <w:pPr>
        <w:pStyle w:val="FirstParagraph"/>
      </w:pPr>
      <w:r>
        <w:t xml:space="preserve">Because management raised guidance substantially just one quarter ago, another formal increase is not essential. But a result that appears to put Targa above the midpoint without at least a stronger qualitative outlook could be interpreted as conservatism—or as a warning that optimization income will fade sharply.</w:t>
      </w:r>
    </w:p>
    <w:p>
      <w:r>
        <w:pict>
          <v:rect style="width:0;height:1.5pt" o:hralign="center" o:hrstd="t" o:hr="t"/>
        </w:pict>
      </w:r>
    </w:p>
    <w:bookmarkEnd w:id="19"/>
    <w:bookmarkEnd w:id="20"/>
    <w:bookmarkStart w:id="21" w:name="X2ecd257953b0afba460659d0923bec956e69cbf"/>
    <w:p>
      <w:pPr>
        <w:pStyle w:val="Heading2"/>
      </w:pPr>
      <w:r>
        <w:t xml:space="preserve">6. Project execution and 2027 setup</w:t>
      </w:r>
    </w:p>
    <w:p>
      <w:pPr>
        <w:pStyle w:val="FirstParagraph"/>
      </w:pPr>
      <w:r>
        <w:t xml:space="preserve">Beyond Q2, the call should provide updates on several major projects: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Project</w:t>
            </w:r>
          </w:p>
        </w:tc>
        <w:tc>
          <w:tcPr/>
          <w:p>
            <w:pPr>
              <w:pStyle w:val="Compact"/>
            </w:pPr>
            <w:r>
              <w:t xml:space="preserve">Expected service</w:t>
            </w:r>
          </w:p>
        </w:tc>
      </w:tr>
      <w:tr>
        <w:tc>
          <w:tcPr/>
          <w:p>
            <w:pPr>
              <w:pStyle w:val="Compact"/>
            </w:pPr>
            <w:r>
              <w:t xml:space="preserve">East Driver processing plant</w:t>
            </w:r>
          </w:p>
        </w:tc>
        <w:tc>
          <w:tcPr/>
          <w:p>
            <w:pPr>
              <w:pStyle w:val="Compact"/>
            </w:pPr>
            <w:r>
              <w:t xml:space="preserve">Q3 2026</w:t>
            </w:r>
          </w:p>
        </w:tc>
      </w:tr>
      <w:tr>
        <w:tc>
          <w:tcPr/>
          <w:p>
            <w:pPr>
              <w:pStyle w:val="Compact"/>
            </w:pPr>
            <w:r>
              <w:t xml:space="preserve">Blackcomb gas pipeline</w:t>
            </w:r>
          </w:p>
        </w:tc>
        <w:tc>
          <w:tcPr/>
          <w:p>
            <w:pPr>
              <w:pStyle w:val="Compact"/>
            </w:pPr>
            <w:r>
              <w:t xml:space="preserve">Q4 2026</w:t>
            </w:r>
          </w:p>
        </w:tc>
      </w:tr>
      <w:tr>
        <w:tc>
          <w:tcPr/>
          <w:p>
            <w:pPr>
              <w:pStyle w:val="Compact"/>
            </w:pPr>
            <w:r>
              <w:t xml:space="preserve">Copperhead processing plant</w:t>
            </w:r>
          </w:p>
        </w:tc>
        <w:tc>
          <w:tcPr/>
          <w:p>
            <w:pPr>
              <w:pStyle w:val="Compact"/>
            </w:pPr>
            <w:r>
              <w:t xml:space="preserve">Q1 2027</w:t>
            </w:r>
          </w:p>
        </w:tc>
      </w:tr>
      <w:tr>
        <w:tc>
          <w:tcPr/>
          <w:p>
            <w:pPr>
              <w:pStyle w:val="Compact"/>
            </w:pPr>
            <w:r>
              <w:t xml:space="preserve">Train 12 fractionator</w:t>
            </w:r>
          </w:p>
        </w:tc>
        <w:tc>
          <w:tcPr/>
          <w:p>
            <w:pPr>
              <w:pStyle w:val="Compact"/>
            </w:pPr>
            <w:r>
              <w:t xml:space="preserve">Q1 2027</w:t>
            </w:r>
          </w:p>
        </w:tc>
      </w:tr>
      <w:tr>
        <w:tc>
          <w:tcPr/>
          <w:p>
            <w:pPr>
              <w:pStyle w:val="Compact"/>
            </w:pPr>
            <w:r>
              <w:t xml:space="preserve">Yeti processing plant</w:t>
            </w:r>
          </w:p>
        </w:tc>
        <w:tc>
          <w:tcPr/>
          <w:p>
            <w:pPr>
              <w:pStyle w:val="Compact"/>
            </w:pPr>
            <w:r>
              <w:t xml:space="preserve">Q3 2027</w:t>
            </w:r>
          </w:p>
        </w:tc>
      </w:tr>
      <w:tr>
        <w:tc>
          <w:tcPr/>
          <w:p>
            <w:pPr>
              <w:pStyle w:val="Compact"/>
            </w:pPr>
            <w:r>
              <w:t xml:space="preserve">Speedway NGL pipeline</w:t>
            </w:r>
          </w:p>
        </w:tc>
        <w:tc>
          <w:tcPr/>
          <w:p>
            <w:pPr>
              <w:pStyle w:val="Compact"/>
            </w:pPr>
            <w:r>
              <w:t xml:space="preserve">Q3 2027</w:t>
            </w:r>
          </w:p>
        </w:tc>
      </w:tr>
      <w:tr>
        <w:tc>
          <w:tcPr/>
          <w:p>
            <w:pPr>
              <w:pStyle w:val="Compact"/>
            </w:pPr>
            <w:r>
              <w:t xml:space="preserve">Galena Park export expansion</w:t>
            </w:r>
          </w:p>
        </w:tc>
        <w:tc>
          <w:tcPr/>
          <w:p>
            <w:pPr>
              <w:pStyle w:val="Compact"/>
            </w:pPr>
            <w:r>
              <w:t xml:space="preserve">Q3 2027</w:t>
            </w:r>
          </w:p>
        </w:tc>
      </w:tr>
      <w:tr>
        <w:tc>
          <w:tcPr/>
          <w:p>
            <w:pPr>
              <w:pStyle w:val="Compact"/>
            </w:pPr>
            <w:r>
              <w:t xml:space="preserve">Yeti II processing plant</w:t>
            </w:r>
          </w:p>
        </w:tc>
        <w:tc>
          <w:tcPr/>
          <w:p>
            <w:pPr>
              <w:pStyle w:val="Compact"/>
            </w:pPr>
            <w:r>
              <w:t xml:space="preserve">Q4 2027</w:t>
            </w:r>
          </w:p>
        </w:tc>
      </w:tr>
      <w:tr>
        <w:tc>
          <w:tcPr/>
          <w:p>
            <w:pPr>
              <w:pStyle w:val="Compact"/>
            </w:pPr>
            <w:r>
              <w:t xml:space="preserve">Roadrunner III and Copperhead II</w:t>
            </w:r>
          </w:p>
        </w:tc>
        <w:tc>
          <w:tcPr/>
          <w:p>
            <w:pPr>
              <w:pStyle w:val="Compact"/>
            </w:pPr>
            <w:r>
              <w:t xml:space="preserve">Q1 2028</w:t>
            </w:r>
          </w:p>
        </w:tc>
      </w:tr>
      <w:tr>
        <w:tc>
          <w:tcPr/>
          <w:p>
            <w:pPr>
              <w:pStyle w:val="Compact"/>
            </w:pPr>
            <w:r>
              <w:t xml:space="preserve">Train 13 fractionator</w:t>
            </w:r>
          </w:p>
        </w:tc>
        <w:tc>
          <w:tcPr/>
          <w:p>
            <w:pPr>
              <w:pStyle w:val="Compact"/>
            </w:pPr>
            <w:r>
              <w:t xml:space="preserve">Q1 2028</w:t>
            </w:r>
          </w:p>
        </w:tc>
      </w:tr>
    </w:tbl>
    <w:p>
      <w:pPr>
        <w:pStyle w:val="BodyText"/>
      </w:pPr>
      <w:r>
        <w:t xml:space="preserve">Blackcomb is especially relevant. Its planned</w:t>
      </w:r>
      <w:r>
        <w:t xml:space="preserve"> </w:t>
      </w:r>
      <w:r>
        <w:rPr>
          <w:b/>
          <w:bCs/>
        </w:rPr>
        <w:t xml:space="preserve">2.5 Bcf/d</w:t>
      </w:r>
      <w:r>
        <w:t xml:space="preserve"> </w:t>
      </w:r>
      <w:r>
        <w:t xml:space="preserve">of Permian takeaway capacity should provide basin egress relief, improve Waha pricing and allow curtailed production to return. That could reduce Targa’s exceptional marketing opportunities but improve and stabilize gathering and processing volumes.</w:t>
      </w:r>
    </w:p>
    <w:p>
      <w:pPr>
        <w:pStyle w:val="BodyText"/>
      </w:pPr>
      <w:r>
        <w:t xml:space="preserve">Investors should view that trade-off positively if the result is more durable system-wide throughput.</w:t>
      </w:r>
    </w:p>
    <w:p>
      <w:r>
        <w:pict>
          <v:rect style="width:0;height:1.5pt" o:hralign="center" o:hrstd="t" o:hr="t"/>
        </w:pict>
      </w:r>
    </w:p>
    <w:bookmarkEnd w:id="21"/>
    <w:bookmarkStart w:id="22" w:name="Xee51955f720eab96160761a3db85ea22b491df8"/>
    <w:p>
      <w:pPr>
        <w:pStyle w:val="Heading2"/>
      </w:pPr>
      <w:r>
        <w:t xml:space="preserve">7. Capital allocation: growth remains the priority</w:t>
      </w:r>
    </w:p>
    <w:p>
      <w:pPr>
        <w:pStyle w:val="FirstParagraph"/>
      </w:pPr>
      <w:r>
        <w:t xml:space="preserve">Targa is spending approximately</w:t>
      </w:r>
      <w:r>
        <w:t xml:space="preserve"> </w:t>
      </w:r>
      <m:oMath>
        <m:r>
          <m:t>4.5</m:t>
        </m:r>
        <m:r>
          <m:t>b</m:t>
        </m:r>
        <m:r>
          <m:t>i</m:t>
        </m:r>
        <m:r>
          <m:t>l</m:t>
        </m:r>
        <m:r>
          <m:t>l</m:t>
        </m:r>
        <m:r>
          <m:t>i</m:t>
        </m:r>
        <m:r>
          <m:t>o</m:t>
        </m:r>
        <m:r>
          <m:t>n</m:t>
        </m:r>
        <m:r>
          <m:t>o</m:t>
        </m:r>
        <m:r>
          <m:t>n</m:t>
        </m:r>
        <m:r>
          <m:t>g</m:t>
        </m:r>
        <m:r>
          <m:t>r</m:t>
        </m:r>
        <m:r>
          <m:t>o</m:t>
        </m:r>
        <m:r>
          <m:t>w</m:t>
        </m:r>
        <m:r>
          <m:t>t</m:t>
        </m:r>
        <m:r>
          <m:t>h</m:t>
        </m:r>
        <m:r>
          <m:t>c</m:t>
        </m:r>
        <m:r>
          <m:t>a</m:t>
        </m:r>
        <m:r>
          <m:t>p</m:t>
        </m:r>
        <m:r>
          <m:t>i</m:t>
        </m:r>
        <m:r>
          <m:t>t</m:t>
        </m:r>
        <m:r>
          <m:t>a</m:t>
        </m:r>
        <m:r>
          <m:t>l</m:t>
        </m:r>
        <m:r>
          <m:t>i</m:t>
        </m:r>
        <m:r>
          <m:t>n</m:t>
        </m:r>
        <m:r>
          <m:t>2026</m:t>
        </m:r>
        <m:r>
          <m:rPr>
            <m:sty m:val="p"/>
          </m:rPr>
          <m:t>*</m:t>
        </m:r>
        <m:r>
          <m:rPr>
            <m:sty m:val="p"/>
          </m:rPr>
          <m:t>*</m:t>
        </m:r>
        <m:r>
          <m:rPr>
            <m:sty m:val="p"/>
          </m:rPr>
          <m:t>,</m:t>
        </m:r>
        <m:r>
          <m:t>p</m:t>
        </m:r>
        <m:r>
          <m:t>l</m:t>
        </m:r>
        <m:r>
          <m:t>u</m:t>
        </m:r>
        <m:r>
          <m:t>s</m:t>
        </m:r>
        <m:r>
          <m:t>a</m:t>
        </m:r>
        <m:r>
          <m:t>b</m:t>
        </m:r>
        <m:r>
          <m:t>o</m:t>
        </m:r>
        <m:r>
          <m:t>u</m:t>
        </m:r>
        <m:r>
          <m:t>t</m:t>
        </m:r>
        <m:r>
          <m:rPr>
            <m:sty m:val="p"/>
          </m:rPr>
          <m:t>*</m:t>
        </m:r>
        <m:r>
          <m:rPr>
            <m:sty m:val="p"/>
          </m:rPr>
          <m:t>*</m:t>
        </m:r>
      </m:oMath>
      <w:r>
        <w:rPr>
          <w:b/>
          <w:bCs/>
        </w:rPr>
        <w:t xml:space="preserve">250 million of maintenance capital</w:t>
      </w:r>
      <w:r>
        <w:t xml:space="preserve">. Q1 adjusted free cash flow was only $228 million after $914 million of growth spending, illustrating how capital-intensive the current buildout is.</w:t>
      </w:r>
    </w:p>
    <w:p>
      <w:pPr>
        <w:pStyle w:val="BodyText"/>
      </w:pPr>
      <w:r>
        <w:t xml:space="preserve">The balance sheet remains manageable:</w:t>
      </w:r>
    </w:p>
    <w:p>
      <w:pPr>
        <w:pStyle w:val="Compact"/>
        <w:numPr>
          <w:ilvl w:val="0"/>
          <w:numId w:val="1012"/>
        </w:numPr>
      </w:pPr>
      <w:r>
        <w:t xml:space="preserve">Pro forma leverage was approximately</w:t>
      </w:r>
      <w:r>
        <w:t xml:space="preserve"> </w:t>
      </w:r>
      <w:r>
        <w:rPr>
          <w:b/>
          <w:bCs/>
        </w:rPr>
        <w:t xml:space="preserve">3.6x</w:t>
      </w:r>
    </w:p>
    <w:p>
      <w:pPr>
        <w:pStyle w:val="Compact"/>
        <w:numPr>
          <w:ilvl w:val="0"/>
          <w:numId w:val="1012"/>
        </w:numPr>
      </w:pPr>
      <w:r>
        <w:t xml:space="preserve">Long-term target is</w:t>
      </w:r>
      <w:r>
        <w:t xml:space="preserve"> </w:t>
      </w:r>
      <w:r>
        <w:rPr>
          <w:b/>
          <w:bCs/>
        </w:rPr>
        <w:t xml:space="preserve">3.0–4.0x</w:t>
      </w:r>
    </w:p>
    <w:p>
      <w:pPr>
        <w:pStyle w:val="Compact"/>
        <w:numPr>
          <w:ilvl w:val="0"/>
          <w:numId w:val="1012"/>
        </w:numPr>
      </w:pPr>
      <w:r>
        <w:t xml:space="preserve">Liquidity was approximately</w:t>
      </w:r>
      <w:r>
        <w:t xml:space="preserve"> </w:t>
      </w:r>
      <w:r>
        <w:rPr>
          <w:b/>
          <w:bCs/>
        </w:rPr>
        <w:t xml:space="preserve">$3.1 billion</w:t>
      </w:r>
    </w:p>
    <w:p>
      <w:pPr>
        <w:pStyle w:val="Compact"/>
        <w:numPr>
          <w:ilvl w:val="0"/>
          <w:numId w:val="1012"/>
        </w:numPr>
      </w:pPr>
      <w:r>
        <w:t xml:space="preserve">The remaining share-repurchase authorization was approximately</w:t>
      </w:r>
      <w:r>
        <w:t xml:space="preserve"> </w:t>
      </w:r>
      <w:r>
        <w:rPr>
          <w:b/>
          <w:bCs/>
        </w:rPr>
        <w:t xml:space="preserve">$1.32 billion</w:t>
      </w:r>
    </w:p>
    <w:p>
      <w:pPr>
        <w:pStyle w:val="FirstParagraph"/>
      </w:pPr>
      <w:r>
        <w:t xml:space="preserve">Targa repurchased only</w:t>
      </w:r>
      <w:r>
        <w:t xml:space="preserve"> </w:t>
      </w:r>
      <m:oMath>
        <m:r>
          <m:t>55</m:t>
        </m:r>
        <m:r>
          <m:t>m</m:t>
        </m:r>
        <m:r>
          <m:t>i</m:t>
        </m:r>
        <m:r>
          <m:t>l</m:t>
        </m:r>
        <m:r>
          <m:t>l</m:t>
        </m:r>
        <m:r>
          <m:t>i</m:t>
        </m:r>
        <m:r>
          <m:t>o</m:t>
        </m:r>
        <m:r>
          <m:t>n</m:t>
        </m:r>
        <m:r>
          <m:t>o</m:t>
        </m:r>
        <m:r>
          <m:t>f</m:t>
        </m:r>
        <m:r>
          <m:t>s</m:t>
        </m:r>
        <m:r>
          <m:t>t</m:t>
        </m:r>
        <m:r>
          <m:t>o</m:t>
        </m:r>
        <m:r>
          <m:t>c</m:t>
        </m:r>
        <m:r>
          <m:t>k</m:t>
        </m:r>
        <m:r>
          <m:t>i</m:t>
        </m:r>
        <m:r>
          <m:t>n</m:t>
        </m:r>
        <m:r>
          <m:t>Q</m:t>
        </m:r>
        <m:r>
          <m:t>1</m:t>
        </m:r>
        <m:r>
          <m:t>w</m:t>
        </m:r>
        <m:r>
          <m:t>h</m:t>
        </m:r>
        <m:r>
          <m:t>i</m:t>
        </m:r>
        <m:r>
          <m:t>l</m:t>
        </m:r>
        <m:r>
          <m:t>e</m:t>
        </m:r>
        <m:r>
          <m:t>r</m:t>
        </m:r>
        <m:r>
          <m:t>a</m:t>
        </m:r>
        <m:r>
          <m:t>i</m:t>
        </m:r>
        <m:r>
          <m:t>s</m:t>
        </m:r>
        <m:r>
          <m:t>i</m:t>
        </m:r>
        <m:r>
          <m:t>n</m:t>
        </m:r>
        <m:r>
          <m:t>g</m:t>
        </m:r>
        <m:r>
          <m:t>i</m:t>
        </m:r>
        <m:r>
          <m:t>t</m:t>
        </m:r>
        <m:r>
          <m:t>s</m:t>
        </m:r>
        <m:r>
          <m:t>q</m:t>
        </m:r>
        <m:r>
          <m:t>u</m:t>
        </m:r>
        <m:r>
          <m:t>a</m:t>
        </m:r>
        <m:r>
          <m:t>r</m:t>
        </m:r>
        <m:r>
          <m:t>t</m:t>
        </m:r>
        <m:r>
          <m:t>e</m:t>
        </m:r>
        <m:r>
          <m:t>r</m:t>
        </m:r>
        <m:r>
          <m:t>l</m:t>
        </m:r>
        <m:r>
          <m:t>y</m:t>
        </m:r>
        <m:r>
          <m:t>d</m:t>
        </m:r>
        <m:r>
          <m:t>i</m:t>
        </m:r>
        <m:r>
          <m:t>v</m:t>
        </m:r>
        <m:r>
          <m:t>i</m:t>
        </m:r>
        <m:r>
          <m:t>d</m:t>
        </m:r>
        <m:r>
          <m:t>e</m:t>
        </m:r>
        <m:r>
          <m:t>n</m:t>
        </m:r>
        <m:r>
          <m:t>d</m:t>
        </m:r>
        <m:r>
          <m:t>25</m:t>
        </m:r>
      </m:oMath>
      <w:r>
        <w:t xml:space="preserve">1.25 per share**. The same dividend was declared for Q2.</w:t>
      </w:r>
    </w:p>
    <w:p>
      <w:pPr>
        <w:pStyle w:val="BodyText"/>
      </w:pPr>
      <w:r>
        <w:t xml:space="preserve">The likely priority order remains:</w:t>
      </w:r>
    </w:p>
    <w:p>
      <w:pPr>
        <w:pStyle w:val="Compact"/>
        <w:numPr>
          <w:ilvl w:val="0"/>
          <w:numId w:val="1013"/>
        </w:numPr>
      </w:pPr>
      <w:r>
        <w:t xml:space="preserve">Fund contracted organic growth</w:t>
      </w:r>
    </w:p>
    <w:p>
      <w:pPr>
        <w:pStyle w:val="Compact"/>
        <w:numPr>
          <w:ilvl w:val="0"/>
          <w:numId w:val="1013"/>
        </w:numPr>
      </w:pPr>
      <w:r>
        <w:t xml:space="preserve">Preserve investment-grade credit metrics</w:t>
      </w:r>
    </w:p>
    <w:p>
      <w:pPr>
        <w:pStyle w:val="Compact"/>
        <w:numPr>
          <w:ilvl w:val="0"/>
          <w:numId w:val="1013"/>
        </w:numPr>
      </w:pPr>
      <w:r>
        <w:t xml:space="preserve">Pay and gradually grow the dividend</w:t>
      </w:r>
    </w:p>
    <w:p>
      <w:pPr>
        <w:pStyle w:val="Compact"/>
        <w:numPr>
          <w:ilvl w:val="0"/>
          <w:numId w:val="1013"/>
        </w:numPr>
      </w:pPr>
      <w:r>
        <w:t xml:space="preserve">Repurchase shares opportunistically</w:t>
      </w:r>
    </w:p>
    <w:p>
      <w:pPr>
        <w:pStyle w:val="FirstParagraph"/>
      </w:pPr>
      <w:r>
        <w:t xml:space="preserve">A major acceleration in buybacks appears less likely while capex is elevated and leverage remains around 3.6x. More important will be reassurance that Targa can finance the project backlog without issuing common equity or moving above its leverage target.</w:t>
      </w:r>
    </w:p>
    <w:p>
      <w:r>
        <w:pict>
          <v:rect style="width:0;height:1.5pt" o:hralign="center" o:hrstd="t" o:hr="t"/>
        </w:pict>
      </w:r>
    </w:p>
    <w:bookmarkEnd w:id="22"/>
    <w:bookmarkStart w:id="23" w:name="key-questions-for-the-earnings-call"/>
    <w:p>
      <w:pPr>
        <w:pStyle w:val="Heading2"/>
      </w:pPr>
      <w:r>
        <w:t xml:space="preserve">Key questions for the earnings call</w:t>
      </w:r>
    </w:p>
    <w:p>
      <w:pPr>
        <w:pStyle w:val="Compact"/>
        <w:numPr>
          <w:ilvl w:val="0"/>
          <w:numId w:val="1014"/>
        </w:numPr>
      </w:pPr>
      <w:r>
        <w:rPr>
          <w:b/>
          <w:bCs/>
        </w:rPr>
        <w:t xml:space="preserve">What was average Q2 Permian inlet volume, and how much gas remained curtailed at quarter-end?</w:t>
      </w:r>
    </w:p>
    <w:p>
      <w:pPr>
        <w:pStyle w:val="Compact"/>
        <w:numPr>
          <w:ilvl w:val="0"/>
          <w:numId w:val="1014"/>
        </w:numPr>
      </w:pPr>
      <w:r>
        <w:rPr>
          <w:b/>
          <w:bCs/>
        </w:rPr>
        <w:t xml:space="preserve">How much of Q2 and full-year EBITDA is attributable to Waha-related optimization?</w:t>
      </w:r>
    </w:p>
    <w:p>
      <w:pPr>
        <w:pStyle w:val="Compact"/>
        <w:numPr>
          <w:ilvl w:val="0"/>
          <w:numId w:val="1014"/>
        </w:numPr>
      </w:pPr>
      <w:r>
        <w:rPr>
          <w:b/>
          <w:bCs/>
        </w:rPr>
        <w:t xml:space="preserve">What proportion of the current guidance increase is repeatable in 2027?</w:t>
      </w:r>
    </w:p>
    <w:p>
      <w:pPr>
        <w:pStyle w:val="Compact"/>
        <w:numPr>
          <w:ilvl w:val="0"/>
          <w:numId w:val="1014"/>
        </w:numPr>
      </w:pPr>
      <w:r>
        <w:rPr>
          <w:b/>
          <w:bCs/>
        </w:rPr>
        <w:t xml:space="preserve">Did LPG exports reach a record, and what is the current level of long-term contracting?</w:t>
      </w:r>
    </w:p>
    <w:p>
      <w:pPr>
        <w:pStyle w:val="Compact"/>
        <w:numPr>
          <w:ilvl w:val="0"/>
          <w:numId w:val="1014"/>
        </w:numPr>
      </w:pPr>
      <w:r>
        <w:rPr>
          <w:b/>
          <w:bCs/>
        </w:rPr>
        <w:t xml:space="preserve">How quickly are Train 11 and Delaware Express ramping?</w:t>
      </w:r>
    </w:p>
    <w:p>
      <w:pPr>
        <w:pStyle w:val="Compact"/>
        <w:numPr>
          <w:ilvl w:val="0"/>
          <w:numId w:val="1014"/>
        </w:numPr>
      </w:pPr>
      <w:r>
        <w:rPr>
          <w:b/>
          <w:bCs/>
        </w:rPr>
        <w:t xml:space="preserve">Are East Driver and Blackcomb still on schedule for the second half of 2026?</w:t>
      </w:r>
    </w:p>
    <w:p>
      <w:pPr>
        <w:pStyle w:val="Compact"/>
        <w:numPr>
          <w:ilvl w:val="0"/>
          <w:numId w:val="1014"/>
        </w:numPr>
      </w:pPr>
      <w:r>
        <w:rPr>
          <w:b/>
          <w:bCs/>
        </w:rPr>
        <w:t xml:space="preserve">How quickly should curtailed Permian volumes return once new takeaway capacity starts?</w:t>
      </w:r>
    </w:p>
    <w:p>
      <w:pPr>
        <w:pStyle w:val="Compact"/>
        <w:numPr>
          <w:ilvl w:val="0"/>
          <w:numId w:val="1014"/>
        </w:numPr>
      </w:pPr>
      <w:r>
        <w:rPr>
          <w:b/>
          <w:bCs/>
        </w:rPr>
        <w:t xml:space="preserve">Does the $4.5 billion growth-capital estimate still include sufficient contingency for all announced projects?</w:t>
      </w:r>
    </w:p>
    <w:p>
      <w:pPr>
        <w:pStyle w:val="Compact"/>
        <w:numPr>
          <w:ilvl w:val="0"/>
          <w:numId w:val="1014"/>
        </w:numPr>
      </w:pPr>
      <w:r>
        <w:rPr>
          <w:b/>
          <w:bCs/>
        </w:rPr>
        <w:t xml:space="preserve">Will incremental cash flow favor debt reduction, dividends or buybacks?</w:t>
      </w:r>
    </w:p>
    <w:p>
      <w:pPr>
        <w:pStyle w:val="Compact"/>
        <w:numPr>
          <w:ilvl w:val="0"/>
          <w:numId w:val="1014"/>
        </w:numPr>
      </w:pPr>
      <w:r>
        <w:rPr>
          <w:b/>
          <w:bCs/>
        </w:rPr>
        <w:t xml:space="preserve">Has the higher commodity-price environment changed producer activity forecasts for 2027–2028?</w:t>
      </w:r>
    </w:p>
    <w:p>
      <w:r>
        <w:pict>
          <v:rect style="width:0;height:1.5pt" o:hralign="center" o:hrstd="t" o:hr="t"/>
        </w:pict>
      </w:r>
    </w:p>
    <w:bookmarkEnd w:id="23"/>
    <w:bookmarkStart w:id="24" w:name="bottom-line"/>
    <w:p>
      <w:pPr>
        <w:pStyle w:val="Heading2"/>
      </w:pPr>
      <w:r>
        <w:t xml:space="preserve">Bottom line</w:t>
      </w:r>
    </w:p>
    <w:p>
      <w:pPr>
        <w:pStyle w:val="FirstParagraph"/>
      </w:pPr>
      <w:r>
        <w:t xml:space="preserve">The setup appears favorable, with multiple reasons for sequential improvement: higher Permian throughput, restored export operations, a full quarter from recently completed processing capacity, the startup of Train 11 and Delaware Express, and continued marketing opportunities.</w:t>
      </w:r>
    </w:p>
    <w:p>
      <w:pPr>
        <w:pStyle w:val="BodyText"/>
      </w:pPr>
      <w:r>
        <w:t xml:space="preserve">The bar, however, is also high after record Q1 results and a $300 million guidance increase. The strongest report would combine:</w:t>
      </w:r>
    </w:p>
    <w:p>
      <w:pPr>
        <w:pStyle w:val="Compact"/>
        <w:numPr>
          <w:ilvl w:val="0"/>
          <w:numId w:val="1015"/>
        </w:numPr>
      </w:pPr>
      <w:r>
        <w:rPr>
          <w:b/>
          <w:bCs/>
        </w:rPr>
        <w:t xml:space="preserve">Permian volumes near or above 7 Bcf/d</w:t>
      </w:r>
    </w:p>
    <w:p>
      <w:pPr>
        <w:pStyle w:val="Compact"/>
        <w:numPr>
          <w:ilvl w:val="0"/>
          <w:numId w:val="1015"/>
        </w:numPr>
      </w:pPr>
      <w:r>
        <w:rPr>
          <w:b/>
          <w:bCs/>
        </w:rPr>
        <w:t xml:space="preserve">Record LPG exports</w:t>
      </w:r>
    </w:p>
    <w:p>
      <w:pPr>
        <w:pStyle w:val="Compact"/>
        <w:numPr>
          <w:ilvl w:val="0"/>
          <w:numId w:val="1015"/>
        </w:numPr>
      </w:pPr>
      <w:r>
        <w:rPr>
          <w:b/>
          <w:bCs/>
        </w:rPr>
        <w:t xml:space="preserve">Adjusted EBITDA at least consistent with the roughly $1.47 billion quarterly run rate implied by annual guidance</w:t>
      </w:r>
    </w:p>
    <w:p>
      <w:pPr>
        <w:pStyle w:val="Compact"/>
        <w:numPr>
          <w:ilvl w:val="0"/>
          <w:numId w:val="1015"/>
        </w:numPr>
      </w:pPr>
      <w:r>
        <w:rPr>
          <w:b/>
          <w:bCs/>
        </w:rPr>
        <w:t xml:space="preserve">On-schedule projects and unchanged capex</w:t>
      </w:r>
    </w:p>
    <w:p>
      <w:pPr>
        <w:pStyle w:val="Compact"/>
        <w:numPr>
          <w:ilvl w:val="0"/>
          <w:numId w:val="1015"/>
        </w:numPr>
      </w:pPr>
      <w:r>
        <w:rPr>
          <w:b/>
          <w:bCs/>
        </w:rPr>
        <w:t xml:space="preserve">An outlook increase supported by core volumes—not only temporary optimization profits</w:t>
      </w:r>
    </w:p>
    <w:p>
      <w:pPr>
        <w:pStyle w:val="FirstParagraph"/>
      </w:pPr>
      <w:r>
        <w:t xml:space="preserve">The central investment issue is the durability of growth. If Q2 demonstrates that underlying Permian and downstream throughput is accelerating even before Blackcomb relieves basin constraints, the report should strengthen the case that Targa’s current capital program can support substantial EBITDA growth into 2027 and 2028.</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2026-08-06T00:41:55Z</dcterms:created>
  <dcterms:modified xsi:type="dcterms:W3CDTF">2026-08-06T00:41:55Z</dcterms:modified>
</cp:coreProperties>
</file>

<file path=docProps/custom.xml><?xml version="1.0" encoding="utf-8"?>
<Properties xmlns="http://schemas.openxmlformats.org/officeDocument/2006/custom-properties" xmlns:vt="http://schemas.openxmlformats.org/officeDocument/2006/docPropsVTypes"/>
</file>