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trgp-q2-2026-earnings-preview"/>
    <w:p>
      <w:pPr>
        <w:pStyle w:val="Heading1"/>
      </w:pPr>
      <w:r>
        <w:t xml:space="preserve">TRGP Q2 2026 Earnings Preview</w:t>
      </w:r>
    </w:p>
    <w:p>
      <w:pPr>
        <w:pStyle w:val="BlockText"/>
      </w:pPr>
      <w:r>
        <w:rPr>
          <w:b/>
          <w:bCs/>
        </w:rPr>
        <w:t xml:space="preserve">Timing correction:</w:t>
      </w:r>
      <w:r>
        <w:t xml:space="preserve"> </w:t>
      </w:r>
      <w:r>
        <w:t xml:space="preserve">Targa Resources reports</w:t>
      </w:r>
      <w:r>
        <w:t xml:space="preserve"> </w:t>
      </w:r>
      <w:r>
        <w:rPr>
          <w:b/>
          <w:bCs/>
        </w:rPr>
        <w:t xml:space="preserve">today, Thursday, August 6, 2026</w:t>
      </w:r>
      <w:r>
        <w:t xml:space="preserve">, before the U.S. market opens, rather than tomorrow. The earnings webcast is scheduled for</w:t>
      </w:r>
      <w:r>
        <w:t xml:space="preserve"> </w:t>
      </w:r>
      <w:r>
        <w:rPr>
          <w:b/>
          <w:bCs/>
        </w:rPr>
        <w:t xml:space="preserve">11:00 a.m. ET</w:t>
      </w:r>
      <w:r>
        <w:t xml:space="preserve">.</w:t>
      </w:r>
    </w:p>
    <w:bookmarkStart w:id="9" w:name="Xc16bb4fd74a5f81bdb66a612866cf5487b026ea"/>
    <w:p>
      <w:pPr>
        <w:pStyle w:val="Heading2"/>
      </w:pPr>
      <w:r>
        <w:t xml:space="preserve">Investment view: execution and guidance durability matter more than a headline “beat”</w:t>
      </w:r>
    </w:p>
    <w:p>
      <w:pPr>
        <w:pStyle w:val="FirstParagraph"/>
      </w:pPr>
      <w:r>
        <w:t xml:space="preserve">Targa enters Q2 with a favorable operating setup: strong Permian activity, recovering volumes after Q1 weather and producer-curtailment effects, Train 11 fractionation capacity newly online, and management’s expectation for</w:t>
      </w:r>
      <w:r>
        <w:t xml:space="preserve"> </w:t>
      </w:r>
      <w:r>
        <w:rPr>
          <w:b/>
          <w:bCs/>
        </w:rPr>
        <w:t xml:space="preserve">record LPG export loadings</w:t>
      </w:r>
      <w:r>
        <w:t xml:space="preserve">. The key investor question is not simply whether Q2 adjusted EBITDA rises sequentially—it is whether the result and commentary validate the company’s already-raised</w:t>
      </w:r>
      <w:r>
        <w:t xml:space="preserve"> </w:t>
      </w:r>
      <m:oMath>
        <m:r>
          <m:t>5.7</m:t>
        </m:r>
        <m:r>
          <m:rPr>
            <m:sty m:val="p"/>
          </m:rPr>
          <m:t>–</m:t>
        </m:r>
      </m:oMath>
      <w:r>
        <w:rPr>
          <w:b/>
          <w:bCs/>
        </w:rPr>
        <w:t xml:space="preserve">5.9 billion</w:t>
      </w:r>
      <w:r>
        <w:t xml:space="preserve"> </w:t>
      </w:r>
      <w:r>
        <w:t xml:space="preserve">2026 adjusted EBITDA outlook.</w:t>
      </w:r>
    </w:p>
    <w:p>
      <w:pPr>
        <w:pStyle w:val="BodyText"/>
      </w:pPr>
      <w:r>
        <w:t xml:space="preserve">The stock also appears to reflect meaningful optimism. TRGP closed at</w:t>
      </w:r>
      <w:r>
        <w:t xml:space="preserve"> </w:t>
      </w:r>
      <w:r>
        <w:rPr>
          <w:b/>
          <w:bCs/>
        </w:rPr>
        <w:t xml:space="preserve">$260.15 on August 5</w:t>
      </w:r>
      <w:r>
        <w:t xml:space="preserve">, up about</w:t>
      </w:r>
      <w:r>
        <w:t xml:space="preserve"> </w:t>
      </w:r>
      <w:r>
        <w:rPr>
          <w:b/>
          <w:bCs/>
        </w:rPr>
        <w:t xml:space="preserve">4.3%</w:t>
      </w:r>
      <w:r>
        <w:t xml:space="preserve"> </w:t>
      </w:r>
      <w:r>
        <w:t xml:space="preserve">from the day before Q1 results and below its late-July closing high of $285.58. A strong quarter without an outlook increase could therefore be viewed as confirmation rather than a fresh catalyst. Conversely, evidence that core volume growth is outperforming independently of temporary marketing gains would reinforce the longer-duration growth case.</w:t>
      </w:r>
    </w:p>
    <w:p>
      <w:r>
        <w:pict>
          <v:rect style="width:0;height:1.5pt" o:hralign="center" o:hrstd="t" o:hr="t"/>
        </w:pict>
      </w:r>
    </w:p>
    <w:bookmarkEnd w:id="9"/>
    <w:bookmarkStart w:id="10" w:name="X399f875e25ba301bdbbad9b32bbc3d8063b786d"/>
    <w:p>
      <w:pPr>
        <w:pStyle w:val="Heading2"/>
      </w:pPr>
      <w:r>
        <w:t xml:space="preserve">What management has already told investors</w:t>
      </w:r>
    </w:p>
    <w:p>
      <w:pPr>
        <w:pStyle w:val="FirstParagraph"/>
      </w:pPr>
      <w:r>
        <w:t xml:space="preserve">At Q1 results, Targa reported record adjusted EBITDA of</w:t>
      </w:r>
      <w:r>
        <w:t xml:space="preserve"> </w:t>
      </w:r>
      <w:r>
        <w:rPr>
          <w:b/>
          <w:bCs/>
        </w:rPr>
        <w:t xml:space="preserve">$1.403 billion</w:t>
      </w:r>
      <w:r>
        <w:t xml:space="preserve">, up 19% year over year and 5% sequentially. It raised its 2026 adjusted EBITDA outlook by</w:t>
      </w:r>
      <w:r>
        <w:t xml:space="preserve"> </w:t>
      </w:r>
      <m:oMath>
        <m:r>
          <m:t>300</m:t>
        </m:r>
        <m:r>
          <m:t>m</m:t>
        </m:r>
        <m:r>
          <m:t>i</m:t>
        </m:r>
        <m:r>
          <m:t>l</m:t>
        </m:r>
        <m:r>
          <m:t>l</m:t>
        </m:r>
        <m:r>
          <m:t>i</m:t>
        </m:r>
        <m:r>
          <m:t>o</m:t>
        </m:r>
        <m:r>
          <m:t>n</m:t>
        </m:r>
        <m:r>
          <m:t>a</m:t>
        </m:r>
        <m:r>
          <m:t>t</m:t>
        </m:r>
        <m:r>
          <m:t>t</m:t>
        </m:r>
        <m:r>
          <m:t>h</m:t>
        </m:r>
        <m:r>
          <m:t>e</m:t>
        </m:r>
        <m:r>
          <m:t>m</m:t>
        </m:r>
        <m:r>
          <m:t>i</m:t>
        </m:r>
        <m:r>
          <m:t>d</m:t>
        </m:r>
        <m:r>
          <m:t>p</m:t>
        </m:r>
        <m:r>
          <m:t>o</m:t>
        </m:r>
        <m:r>
          <m:t>i</m:t>
        </m:r>
        <m:r>
          <m:t>n</m:t>
        </m:r>
        <m:r>
          <m:t>t</m:t>
        </m:r>
        <m:r>
          <m:t>t</m:t>
        </m:r>
        <m:r>
          <m:t>o</m:t>
        </m:r>
        <m:r>
          <m:rPr>
            <m:sty m:val="p"/>
          </m:rPr>
          <m:t>*</m:t>
        </m:r>
        <m:r>
          <m:rPr>
            <m:sty m:val="p"/>
          </m:rPr>
          <m:t>*</m:t>
        </m:r>
      </m:oMath>
      <w:r>
        <w:t xml:space="preserve">5.8 billion**, while maintaining:</w:t>
      </w:r>
    </w:p>
    <w:p>
      <w:pPr>
        <w:pStyle w:val="Compact"/>
        <w:numPr>
          <w:ilvl w:val="0"/>
          <w:numId w:val="1001"/>
        </w:numPr>
      </w:pPr>
      <w:r>
        <w:rPr>
          <w:b/>
          <w:bCs/>
        </w:rPr>
        <w:t xml:space="preserve">Net growth capex:</w:t>
      </w:r>
      <w:r>
        <w:t xml:space="preserve"> </w:t>
      </w:r>
      <w:r>
        <w:t xml:space="preserve">approximately</w:t>
      </w:r>
      <w:r>
        <w:t xml:space="preserve"> </w:t>
      </w:r>
      <w:r>
        <w:rPr>
          <w:b/>
          <w:bCs/>
        </w:rPr>
        <w:t xml:space="preserve">$4.5 billion</w:t>
      </w:r>
    </w:p>
    <w:p>
      <w:pPr>
        <w:pStyle w:val="Compact"/>
        <w:numPr>
          <w:ilvl w:val="0"/>
          <w:numId w:val="1001"/>
        </w:numPr>
      </w:pPr>
      <w:r>
        <w:rPr>
          <w:b/>
          <w:bCs/>
        </w:rPr>
        <w:t xml:space="preserve">Maintenance capex:</w:t>
      </w:r>
      <w:r>
        <w:t xml:space="preserve"> </w:t>
      </w:r>
      <w:r>
        <w:t xml:space="preserve">approximately</w:t>
      </w:r>
      <w:r>
        <w:t xml:space="preserve"> </w:t>
      </w:r>
      <w:r>
        <w:rPr>
          <w:b/>
          <w:bCs/>
        </w:rPr>
        <w:t xml:space="preserve">$250 million</w:t>
      </w:r>
    </w:p>
    <w:p>
      <w:pPr>
        <w:pStyle w:val="Compact"/>
        <w:numPr>
          <w:ilvl w:val="0"/>
          <w:numId w:val="1001"/>
        </w:numPr>
      </w:pPr>
      <w:r>
        <w:rPr>
          <w:b/>
          <w:bCs/>
        </w:rPr>
        <w:t xml:space="preserve">Leverage:</w:t>
      </w:r>
      <w:r>
        <w:t xml:space="preserve"> </w:t>
      </w:r>
      <w:r>
        <w:t xml:space="preserve">approximately</w:t>
      </w:r>
      <w:r>
        <w:t xml:space="preserve"> </w:t>
      </w:r>
      <w:r>
        <w:rPr>
          <w:b/>
          <w:bCs/>
        </w:rPr>
        <w:t xml:space="preserve">3.6x</w:t>
      </w:r>
      <w:r>
        <w:t xml:space="preserve"> </w:t>
      </w:r>
      <w:r>
        <w:t xml:space="preserve">at Q1-end, within its 3.0x–4.0x target range</w:t>
      </w:r>
    </w:p>
    <w:p>
      <w:pPr>
        <w:pStyle w:val="Compact"/>
        <w:numPr>
          <w:ilvl w:val="0"/>
          <w:numId w:val="1001"/>
        </w:numPr>
      </w:pPr>
      <w:r>
        <w:rPr>
          <w:b/>
          <w:bCs/>
        </w:rPr>
        <w:t xml:space="preserve">Quarterly dividend:</w:t>
      </w:r>
      <w:r>
        <w:t xml:space="preserve"> </w:t>
      </w:r>
      <w:r>
        <w:rPr>
          <w:b/>
          <w:bCs/>
        </w:rPr>
        <w:t xml:space="preserve">$1.25/share</w:t>
      </w:r>
      <w:r>
        <w:t xml:space="preserve">, up 25% year over year</w:t>
      </w:r>
    </w:p>
    <w:p>
      <w:pPr>
        <w:pStyle w:val="FirstParagraph"/>
      </w:pPr>
      <w:r>
        <w:t xml:space="preserve">The revised annual midpoint implies roughly</w:t>
      </w:r>
      <w:r>
        <w:t xml:space="preserve"> </w:t>
      </w:r>
      <m:oMath>
        <m:r>
          <m:t>4.40</m:t>
        </m:r>
        <m:r>
          <m:t>b</m:t>
        </m:r>
        <m:r>
          <m:t>i</m:t>
        </m:r>
        <m:r>
          <m:t>l</m:t>
        </m:r>
        <m:r>
          <m:t>l</m:t>
        </m:r>
        <m:r>
          <m:t>i</m:t>
        </m:r>
        <m:r>
          <m:t>o</m:t>
        </m:r>
        <m:r>
          <m:t>n</m:t>
        </m:r>
        <m:r>
          <m:rPr>
            <m:sty m:val="p"/>
          </m:rPr>
          <m:t>*</m:t>
        </m:r>
        <m:r>
          <m:rPr>
            <m:sty m:val="p"/>
          </m:rPr>
          <m:t>*</m:t>
        </m:r>
        <m:r>
          <m:t>o</m:t>
        </m:r>
        <m:r>
          <m:t>f</m:t>
        </m:r>
        <m:r>
          <m:t>a</m:t>
        </m:r>
        <m:r>
          <m:t>d</m:t>
        </m:r>
        <m:r>
          <m:t>j</m:t>
        </m:r>
        <m:r>
          <m:t>u</m:t>
        </m:r>
        <m:r>
          <m:t>s</m:t>
        </m:r>
        <m:r>
          <m:t>t</m:t>
        </m:r>
        <m:r>
          <m:t>e</m:t>
        </m:r>
        <m:r>
          <m:t>d</m:t>
        </m:r>
        <m:r>
          <m:t>E</m:t>
        </m:r>
        <m:r>
          <m:t>B</m:t>
        </m:r>
        <m:r>
          <m:t>I</m:t>
        </m:r>
        <m:r>
          <m:t>T</m:t>
        </m:r>
        <m:r>
          <m:t>D</m:t>
        </m:r>
        <m:r>
          <m:t>A</m:t>
        </m:r>
        <m:r>
          <m:t>a</m:t>
        </m:r>
        <m:r>
          <m:t>c</m:t>
        </m:r>
        <m:r>
          <m:t>r</m:t>
        </m:r>
        <m:r>
          <m:t>o</m:t>
        </m:r>
        <m:r>
          <m:t>s</m:t>
        </m:r>
        <m:r>
          <m:t>s</m:t>
        </m:r>
        <m:r>
          <m:t>Q</m:t>
        </m:r>
        <m:r>
          <m:t>2</m:t>
        </m:r>
        <m:r>
          <m:rPr>
            <m:sty m:val="p"/>
          </m:rPr>
          <m:t>–</m:t>
        </m:r>
        <m:r>
          <m:t>Q</m:t>
        </m:r>
        <m:r>
          <m:t>4</m:t>
        </m:r>
        <m:r>
          <m:rPr>
            <m:sty m:val="p"/>
          </m:rPr>
          <m:t>,</m:t>
        </m:r>
        <m:r>
          <m:t>o</m:t>
        </m:r>
        <m:r>
          <m:t>r</m:t>
        </m:r>
        <m:r>
          <m:t>a</m:t>
        </m:r>
        <m:r>
          <m:t>b</m:t>
        </m:r>
        <m:r>
          <m:t>o</m:t>
        </m:r>
        <m:r>
          <m:t>u</m:t>
        </m:r>
        <m:r>
          <m:t>t</m:t>
        </m:r>
        <m:r>
          <m:rPr>
            <m:sty m:val="p"/>
          </m:rPr>
          <m:t>*</m:t>
        </m:r>
        <m:r>
          <m:rPr>
            <m:sty m:val="p"/>
          </m:rPr>
          <m:t>*</m:t>
        </m:r>
      </m:oMath>
      <w:r>
        <w:rPr>
          <w:b/>
          <w:bCs/>
        </w:rPr>
        <w:t xml:space="preserve">1.47 billion per quarter on average</w:t>
      </w:r>
      <w:r>
        <w:t xml:space="preserve">. Given management’s prior commentary that Q2 volumes were materially higher than Q1 and that LPG exports would set records, the market will likely look for Q2 EBITDA to establish a credible run-rate toward—or above—that implied level.</w:t>
      </w:r>
    </w:p>
    <w:p>
      <w:r>
        <w:pict>
          <v:rect style="width:0;height:1.5pt" o:hralign="center" o:hrstd="t" o:hr="t"/>
        </w:pict>
      </w:r>
    </w:p>
    <w:bookmarkEnd w:id="10"/>
    <w:bookmarkStart w:id="15" w:name="the-key-items-to-watch"/>
    <w:p>
      <w:pPr>
        <w:pStyle w:val="Heading2"/>
      </w:pPr>
      <w:r>
        <w:t xml:space="preserve">The key items to watch</w:t>
      </w:r>
    </w:p>
    <w:bookmarkStart w:id="11" w:name="X743a9324a350a3f421e0c43e5279f1603d17723"/>
    <w:p>
      <w:pPr>
        <w:pStyle w:val="Heading3"/>
      </w:pPr>
      <w:r>
        <w:t xml:space="preserve">1. Permian inlet-volume growth—and how much is “real” versus deferred production</w:t>
      </w:r>
    </w:p>
    <w:p>
      <w:pPr>
        <w:pStyle w:val="FirstParagraph"/>
      </w:pPr>
      <w:r>
        <w:t xml:space="preserve">The core operating driver is Targa’s Permian gathering-and-processing system. In Q1, total Permian inlet volumes averaged</w:t>
      </w:r>
      <w:r>
        <w:t xml:space="preserve"> </w:t>
      </w:r>
      <w:r>
        <w:rPr>
          <w:b/>
          <w:bCs/>
        </w:rPr>
        <w:t xml:space="preserve">6.73 Bcf/d</w:t>
      </w:r>
      <w:r>
        <w:t xml:space="preserve">, up 12% year over year, despite winter weather and producer shut-ins tied to weak Waha natural-gas pricing.</w:t>
      </w:r>
    </w:p>
    <w:p>
      <w:pPr>
        <w:pStyle w:val="BodyText"/>
      </w:pPr>
      <w:r>
        <w:t xml:space="preserve">Management said in May that:</w:t>
      </w:r>
    </w:p>
    <w:p>
      <w:pPr>
        <w:pStyle w:val="Compact"/>
        <w:numPr>
          <w:ilvl w:val="0"/>
          <w:numId w:val="1002"/>
        </w:numPr>
      </w:pPr>
      <w:r>
        <w:t xml:space="preserve">Q2 Permian volumes were then running</w:t>
      </w:r>
      <w:r>
        <w:t xml:space="preserve"> </w:t>
      </w:r>
      <w:r>
        <w:rPr>
          <w:b/>
          <w:bCs/>
        </w:rPr>
        <w:t xml:space="preserve">more than 250 MMcf/d above</w:t>
      </w:r>
      <w:r>
        <w:t xml:space="preserve"> </w:t>
      </w:r>
      <w:r>
        <w:t xml:space="preserve">the Q1 average.</w:t>
      </w:r>
    </w:p>
    <w:p>
      <w:pPr>
        <w:pStyle w:val="Compact"/>
        <w:numPr>
          <w:ilvl w:val="0"/>
          <w:numId w:val="1002"/>
        </w:numPr>
      </w:pPr>
      <w:r>
        <w:t xml:space="preserve">Around</w:t>
      </w:r>
      <w:r>
        <w:t xml:space="preserve"> </w:t>
      </w:r>
      <w:r>
        <w:rPr>
          <w:b/>
          <w:bCs/>
        </w:rPr>
        <w:t xml:space="preserve">200–400 MMcf/d</w:t>
      </w:r>
      <w:r>
        <w:t xml:space="preserve"> </w:t>
      </w:r>
      <w:r>
        <w:t xml:space="preserve">of volumes could be shut in on a given day because of weak Waha prices and tight Permian gas egress.</w:t>
      </w:r>
    </w:p>
    <w:p>
      <w:pPr>
        <w:pStyle w:val="Compact"/>
        <w:numPr>
          <w:ilvl w:val="0"/>
          <w:numId w:val="1002"/>
        </w:numPr>
      </w:pPr>
      <w:r>
        <w:t xml:space="preserve">Despite curtailments, it maintained its expectation for</w:t>
      </w:r>
      <w:r>
        <w:t xml:space="preserve"> </w:t>
      </w:r>
      <w:r>
        <w:rPr>
          <w:b/>
          <w:bCs/>
        </w:rPr>
        <w:t xml:space="preserve">low-double-digit Permian volume growth</w:t>
      </w:r>
      <w:r>
        <w:t xml:space="preserve"> </w:t>
      </w:r>
      <w:r>
        <w:t xml:space="preserve">for 2026.</w:t>
      </w:r>
    </w:p>
    <w:p>
      <w:pPr>
        <w:pStyle w:val="FirstParagraph"/>
      </w:pPr>
      <w:r>
        <w:rPr>
          <w:b/>
          <w:bCs/>
        </w:rPr>
        <w:t xml:space="preserve">What matters in Q2:</w:t>
      </w:r>
      <w:r>
        <w:t xml:space="preserve"> </w:t>
      </w:r>
      <w:r>
        <w:t xml:space="preserve">Investors should focus on the reported average inlet-volume number, the exit rate, and management’s assessment of shut-in volumes. A high average volume figure would be constructive, but an even more important positive would be evidence that curtailed volumes represent deferred supply that can return once incremental takeaway capacity arrives later in 2026.</w:t>
      </w:r>
    </w:p>
    <w:bookmarkEnd w:id="11"/>
    <w:bookmarkStart w:id="12" w:name="X0b989ebff30785b276411c740b8783d6d4af281"/>
    <w:p>
      <w:pPr>
        <w:pStyle w:val="Heading3"/>
      </w:pPr>
      <w:r>
        <w:t xml:space="preserve">2. Whether logistics and transportation converts upstream growth into earnings</w:t>
      </w:r>
    </w:p>
    <w:p>
      <w:pPr>
        <w:pStyle w:val="FirstParagraph"/>
      </w:pPr>
      <w:r>
        <w:t xml:space="preserve">Targa’s integrated model is the central attraction: additional Permian gas processing produces more NGLs, which then feed its pipelines, Mont Belvieu fractionation complex, and LPG export terminal.</w:t>
      </w:r>
    </w:p>
    <w:p>
      <w:pPr>
        <w:pStyle w:val="BodyText"/>
      </w:pPr>
      <w:r>
        <w:t xml:space="preserve">In Q1, its Logistics &amp; Transportation segment delivered:</w:t>
      </w:r>
    </w:p>
    <w:p>
      <w:pPr>
        <w:pStyle w:val="Compact"/>
        <w:numPr>
          <w:ilvl w:val="0"/>
          <w:numId w:val="1003"/>
        </w:numPr>
      </w:pPr>
      <w:r>
        <w:rPr>
          <w:b/>
          <w:bCs/>
        </w:rPr>
        <w:t xml:space="preserve">1.017 MMbbl/d</w:t>
      </w:r>
      <w:r>
        <w:t xml:space="preserve"> </w:t>
      </w:r>
      <w:r>
        <w:t xml:space="preserve">of NGL pipeline transportation volumes, up 21% year over year</w:t>
      </w:r>
    </w:p>
    <w:p>
      <w:pPr>
        <w:pStyle w:val="Compact"/>
        <w:numPr>
          <w:ilvl w:val="0"/>
          <w:numId w:val="1003"/>
        </w:numPr>
      </w:pPr>
      <w:r>
        <w:rPr>
          <w:b/>
          <w:bCs/>
        </w:rPr>
        <w:t xml:space="preserve">1.145 MMbbl/d</w:t>
      </w:r>
      <w:r>
        <w:t xml:space="preserve"> </w:t>
      </w:r>
      <w:r>
        <w:t xml:space="preserve">of fractionation volumes, up 17%</w:t>
      </w:r>
    </w:p>
    <w:p>
      <w:pPr>
        <w:pStyle w:val="Compact"/>
        <w:numPr>
          <w:ilvl w:val="0"/>
          <w:numId w:val="1003"/>
        </w:numPr>
      </w:pPr>
      <w:r>
        <w:rPr>
          <w:b/>
          <w:bCs/>
        </w:rPr>
        <w:t xml:space="preserve">437 MBbl/d</w:t>
      </w:r>
      <w:r>
        <w:t xml:space="preserve"> </w:t>
      </w:r>
      <w:r>
        <w:t xml:space="preserve">of LPG export volumes, down 2% because of an unplanned facility outage late in the quarter</w:t>
      </w:r>
    </w:p>
    <w:p>
      <w:pPr>
        <w:pStyle w:val="FirstParagraph"/>
      </w:pPr>
      <w:r>
        <w:t xml:space="preserve">The Q1 outage was resolved early in Q2. Management subsequently indicated it expected</w:t>
      </w:r>
      <w:r>
        <w:t xml:space="preserve"> </w:t>
      </w:r>
      <w:r>
        <w:rPr>
          <w:b/>
          <w:bCs/>
        </w:rPr>
        <w:t xml:space="preserve">record Q2 LPG loadings</w:t>
      </w:r>
      <w:r>
        <w:t xml:space="preserve">, aided by strong demand and favorable product-mix opportunities, including butane.</w:t>
      </w:r>
    </w:p>
    <w:p>
      <w:pPr>
        <w:pStyle w:val="BodyText"/>
      </w:pPr>
      <w:r>
        <w:rPr>
          <w:b/>
          <w:bCs/>
        </w:rPr>
        <w:t xml:space="preserve">What matters in Q2:</w:t>
      </w:r>
      <w:r>
        <w:t xml:space="preserve"> </w:t>
      </w:r>
      <w:r>
        <w:t xml:space="preserve">A meaningful rebound in export volumes and confirmation that fractionation throughput accelerated after Train 11 began operations in April would demonstrate that Targa is monetizing upstream volume growth through the entire value chain.</w:t>
      </w:r>
    </w:p>
    <w:bookmarkEnd w:id="12"/>
    <w:bookmarkStart w:id="13" w:name="X871f82c9604c050032c5f0e6c6cff3af62c63c3"/>
    <w:p>
      <w:pPr>
        <w:pStyle w:val="Heading3"/>
      </w:pPr>
      <w:r>
        <w:t xml:space="preserve">3. Marketing and optimization: upside contributor or a peak earnings concern?</w:t>
      </w:r>
    </w:p>
    <w:p>
      <w:pPr>
        <w:pStyle w:val="FirstParagraph"/>
      </w:pPr>
      <w:r>
        <w:t xml:space="preserve">The 2026 guide increase was supported partly by strong natural-gas marketing and optimization conditions, as well as incremental LPG-export opportunities. These opportunities have been created by tight Permian gas takeaway and wide Waha differentials.</w:t>
      </w:r>
    </w:p>
    <w:p>
      <w:pPr>
        <w:pStyle w:val="BodyText"/>
      </w:pPr>
      <w:r>
        <w:t xml:space="preserve">That is beneficial for 2026 earnings, but it creates an important debate: the same new pipelines that should reduce producer curtailments and support future physical volumes could eventually reduce temporary marketing margins.</w:t>
      </w:r>
    </w:p>
    <w:p>
      <w:pPr>
        <w:pStyle w:val="BodyText"/>
      </w:pPr>
      <w:r>
        <w:t xml:space="preserve">Management has stressed that its outlook remains conservative on forward marketing assumptions. The Q2 call should clarify:</w:t>
      </w:r>
    </w:p>
    <w:p>
      <w:pPr>
        <w:pStyle w:val="Compact"/>
        <w:numPr>
          <w:ilvl w:val="0"/>
          <w:numId w:val="1004"/>
        </w:numPr>
      </w:pPr>
      <w:r>
        <w:t xml:space="preserve">How much of first-half outperformance came from marketing/optimization;</w:t>
      </w:r>
    </w:p>
    <w:p>
      <w:pPr>
        <w:pStyle w:val="Compact"/>
        <w:numPr>
          <w:ilvl w:val="0"/>
          <w:numId w:val="1004"/>
        </w:numPr>
      </w:pPr>
      <w:r>
        <w:t xml:space="preserve">How much is expected to persist through year-end;</w:t>
      </w:r>
    </w:p>
    <w:p>
      <w:pPr>
        <w:pStyle w:val="Compact"/>
        <w:numPr>
          <w:ilvl w:val="0"/>
          <w:numId w:val="1004"/>
        </w:numPr>
      </w:pPr>
      <w:r>
        <w:t xml:space="preserve">How management balances potentially lower spreads against higher physical throughput as egress improves.</w:t>
      </w:r>
    </w:p>
    <w:p>
      <w:pPr>
        <w:pStyle w:val="FirstParagraph"/>
      </w:pPr>
      <w:r>
        <w:rPr>
          <w:b/>
          <w:bCs/>
        </w:rPr>
        <w:t xml:space="preserve">Read-through:</w:t>
      </w:r>
      <w:r>
        <w:t xml:space="preserve"> </w:t>
      </w:r>
      <w:r>
        <w:t xml:space="preserve">A guide raise driven primarily by structural volumes, fractionation, and exports would likely be viewed more favorably than one driven solely by transient marketing gains.</w:t>
      </w:r>
    </w:p>
    <w:bookmarkEnd w:id="13"/>
    <w:bookmarkStart w:id="14" w:name="X1ed5148e8284d84e7ec6e139c598a250bd3c25b"/>
    <w:p>
      <w:pPr>
        <w:pStyle w:val="Heading3"/>
      </w:pPr>
      <w:r>
        <w:t xml:space="preserve">4. 2027–2028 project execution and capital intensity</w:t>
      </w:r>
    </w:p>
    <w:p>
      <w:pPr>
        <w:pStyle w:val="FirstParagraph"/>
      </w:pPr>
      <w:r>
        <w:t xml:space="preserve">Targa’s capital program remains large, but it is linked to visible growth across its integrated asset base. Major project milestones include:</w:t>
      </w:r>
    </w:p>
    <w:p>
      <w:pPr>
        <w:pStyle w:val="Compact"/>
        <w:numPr>
          <w:ilvl w:val="0"/>
          <w:numId w:val="1005"/>
        </w:numPr>
      </w:pPr>
      <w:r>
        <w:rPr>
          <w:b/>
          <w:bCs/>
        </w:rPr>
        <w:t xml:space="preserve">East Driver</w:t>
      </w:r>
      <w:r>
        <w:t xml:space="preserve"> </w:t>
      </w:r>
      <w:r>
        <w:t xml:space="preserve">processing plant: targeted for Q3 2026</w:t>
      </w:r>
    </w:p>
    <w:p>
      <w:pPr>
        <w:pStyle w:val="Compact"/>
        <w:numPr>
          <w:ilvl w:val="0"/>
          <w:numId w:val="1005"/>
        </w:numPr>
      </w:pPr>
      <w:r>
        <w:rPr>
          <w:b/>
          <w:bCs/>
        </w:rPr>
        <w:t xml:space="preserve">Copperhead:</w:t>
      </w:r>
      <w:r>
        <w:t xml:space="preserve"> </w:t>
      </w:r>
      <w:r>
        <w:t xml:space="preserve">Q1 2027</w:t>
      </w:r>
    </w:p>
    <w:p>
      <w:pPr>
        <w:pStyle w:val="Compact"/>
        <w:numPr>
          <w:ilvl w:val="0"/>
          <w:numId w:val="1005"/>
        </w:numPr>
      </w:pPr>
      <w:r>
        <w:rPr>
          <w:b/>
          <w:bCs/>
        </w:rPr>
        <w:t xml:space="preserve">Yeti I:</w:t>
      </w:r>
      <w:r>
        <w:t xml:space="preserve"> </w:t>
      </w:r>
      <w:r>
        <w:t xml:space="preserve">Q3 2027</w:t>
      </w:r>
    </w:p>
    <w:p>
      <w:pPr>
        <w:pStyle w:val="Compact"/>
        <w:numPr>
          <w:ilvl w:val="0"/>
          <w:numId w:val="1005"/>
        </w:numPr>
      </w:pPr>
      <w:r>
        <w:rPr>
          <w:b/>
          <w:bCs/>
        </w:rPr>
        <w:t xml:space="preserve">Yeti II:</w:t>
      </w:r>
      <w:r>
        <w:t xml:space="preserve"> </w:t>
      </w:r>
      <w:r>
        <w:t xml:space="preserve">Q4 2027</w:t>
      </w:r>
    </w:p>
    <w:p>
      <w:pPr>
        <w:pStyle w:val="Compact"/>
        <w:numPr>
          <w:ilvl w:val="0"/>
          <w:numId w:val="1005"/>
        </w:numPr>
      </w:pPr>
      <w:r>
        <w:rPr>
          <w:b/>
          <w:bCs/>
        </w:rPr>
        <w:t xml:space="preserve">Speedway NGL pipeline:</w:t>
      </w:r>
      <w:r>
        <w:t xml:space="preserve"> </w:t>
      </w:r>
      <w:r>
        <w:t xml:space="preserve">Q3 2027</w:t>
      </w:r>
    </w:p>
    <w:p>
      <w:pPr>
        <w:pStyle w:val="Compact"/>
        <w:numPr>
          <w:ilvl w:val="0"/>
          <w:numId w:val="1005"/>
        </w:numPr>
      </w:pPr>
      <w:r>
        <w:rPr>
          <w:b/>
          <w:bCs/>
        </w:rPr>
        <w:t xml:space="preserve">Fractionation Train 12:</w:t>
      </w:r>
      <w:r>
        <w:t xml:space="preserve"> </w:t>
      </w:r>
      <w:r>
        <w:t xml:space="preserve">Q1 2027</w:t>
      </w:r>
    </w:p>
    <w:p>
      <w:pPr>
        <w:pStyle w:val="Compact"/>
        <w:numPr>
          <w:ilvl w:val="0"/>
          <w:numId w:val="1005"/>
        </w:numPr>
      </w:pPr>
      <w:r>
        <w:rPr>
          <w:b/>
          <w:bCs/>
        </w:rPr>
        <w:t xml:space="preserve">Fractionation Train 13:</w:t>
      </w:r>
      <w:r>
        <w:t xml:space="preserve"> </w:t>
      </w:r>
      <w:r>
        <w:t xml:space="preserve">Q1 2028</w:t>
      </w:r>
    </w:p>
    <w:p>
      <w:pPr>
        <w:pStyle w:val="Compact"/>
        <w:numPr>
          <w:ilvl w:val="0"/>
          <w:numId w:val="1005"/>
        </w:numPr>
      </w:pPr>
      <w:r>
        <w:rPr>
          <w:b/>
          <w:bCs/>
        </w:rPr>
        <w:t xml:space="preserve">Roadrunner III and Copperhead II:</w:t>
      </w:r>
      <w:r>
        <w:t xml:space="preserve"> </w:t>
      </w:r>
      <w:r>
        <w:t xml:space="preserve">Q1 2028</w:t>
      </w:r>
    </w:p>
    <w:p>
      <w:pPr>
        <w:pStyle w:val="FirstParagraph"/>
      </w:pPr>
      <w:r>
        <w:t xml:space="preserve">The central execution question is whether Targa can preserve its historical record of bringing projects online on time or early while keeping the 2026 net-growth-capex estimate at roughly $4.5 billion.</w:t>
      </w:r>
    </w:p>
    <w:p>
      <w:pPr>
        <w:pStyle w:val="BodyText"/>
      </w:pPr>
      <w:r>
        <w:rPr>
          <w:b/>
          <w:bCs/>
        </w:rPr>
        <w:t xml:space="preserve">What matters in Q2:</w:t>
      </w:r>
      <w:r>
        <w:t xml:space="preserve"> </w:t>
      </w:r>
      <w:r>
        <w:t xml:space="preserve">No capex inflation, no timing slippage, and continued confidence that new plants will be well utilized at startup. Any indication that capex is moving higher without an accompanying uplift in EBITDA or contracted-volume visibility would be a negative.</w:t>
      </w:r>
    </w:p>
    <w:p>
      <w:r>
        <w:pict>
          <v:rect style="width:0;height:1.5pt" o:hralign="center" o:hrstd="t" o:hr="t"/>
        </w:pict>
      </w:r>
    </w:p>
    <w:bookmarkEnd w:id="14"/>
    <w:bookmarkEnd w:id="15"/>
    <w:bookmarkStart w:id="16" w:name="potential-upside-catalysts"/>
    <w:p>
      <w:pPr>
        <w:pStyle w:val="Heading2"/>
      </w:pPr>
      <w:r>
        <w:t xml:space="preserve">Potential upside catalysts</w:t>
      </w:r>
    </w:p>
    <w:p>
      <w:pPr>
        <w:pStyle w:val="Compact"/>
        <w:numPr>
          <w:ilvl w:val="0"/>
          <w:numId w:val="1006"/>
        </w:numPr>
      </w:pPr>
      <w:r>
        <w:rPr>
          <w:b/>
          <w:bCs/>
        </w:rPr>
        <w:t xml:space="preserve">2026 EBITDA guidance moves higher again</w:t>
      </w:r>
      <w:r>
        <w:t xml:space="preserve">, especially if driven by core volume and downstream throughput rather than only short-term optimization.</w:t>
      </w:r>
    </w:p>
    <w:p>
      <w:pPr>
        <w:pStyle w:val="Compact"/>
        <w:numPr>
          <w:ilvl w:val="0"/>
          <w:numId w:val="1006"/>
        </w:numPr>
      </w:pPr>
      <w:r>
        <w:t xml:space="preserve">Permian inlet volumes materially exceed the prior “Q1 plus 250 MMcf/d” indication.</w:t>
      </w:r>
    </w:p>
    <w:p>
      <w:pPr>
        <w:pStyle w:val="Compact"/>
        <w:numPr>
          <w:ilvl w:val="0"/>
          <w:numId w:val="1006"/>
        </w:numPr>
      </w:pPr>
      <w:r>
        <w:t xml:space="preserve">LPG exports rebound sharply from the Q1 outage-affected level and establish a higher sustainable run-rate.</w:t>
      </w:r>
    </w:p>
    <w:p>
      <w:pPr>
        <w:pStyle w:val="Compact"/>
        <w:numPr>
          <w:ilvl w:val="0"/>
          <w:numId w:val="1006"/>
        </w:numPr>
      </w:pPr>
      <w:r>
        <w:t xml:space="preserve">Management signals that second-half gas-egress relief will unlock curtailed volumes, supporting a stronger 2027 starting point.</w:t>
      </w:r>
    </w:p>
    <w:p>
      <w:pPr>
        <w:pStyle w:val="Compact"/>
        <w:numPr>
          <w:ilvl w:val="0"/>
          <w:numId w:val="1006"/>
        </w:numPr>
      </w:pPr>
      <w:r>
        <w:t xml:space="preserve">Continued capital discipline leaves room for additional buybacks or an eventual dividend increase, while leverage remains inside target.</w:t>
      </w:r>
    </w:p>
    <w:bookmarkEnd w:id="16"/>
    <w:bookmarkStart w:id="17" w:name="risks-and-potential-disappointments"/>
    <w:p>
      <w:pPr>
        <w:pStyle w:val="Heading2"/>
      </w:pPr>
      <w:r>
        <w:t xml:space="preserve">Risks and potential disappointments</w:t>
      </w:r>
    </w:p>
    <w:p>
      <w:pPr>
        <w:pStyle w:val="Compact"/>
        <w:numPr>
          <w:ilvl w:val="0"/>
          <w:numId w:val="1007"/>
        </w:numPr>
      </w:pPr>
      <w:r>
        <w:rPr>
          <w:b/>
          <w:bCs/>
        </w:rPr>
        <w:t xml:space="preserve">Waha weakness persists</w:t>
      </w:r>
      <w:r>
        <w:t xml:space="preserve"> </w:t>
      </w:r>
      <w:r>
        <w:t xml:space="preserve">and producer curtailments remain larger or longer-lasting than expected.</w:t>
      </w:r>
    </w:p>
    <w:p>
      <w:pPr>
        <w:pStyle w:val="Compact"/>
        <w:numPr>
          <w:ilvl w:val="0"/>
          <w:numId w:val="1007"/>
        </w:numPr>
      </w:pPr>
      <w:r>
        <w:t xml:space="preserve">Marketing gains normalize faster than physical volumes recover, exposing the temporary component of 2026 upside.</w:t>
      </w:r>
    </w:p>
    <w:p>
      <w:pPr>
        <w:pStyle w:val="Compact"/>
        <w:numPr>
          <w:ilvl w:val="0"/>
          <w:numId w:val="1007"/>
        </w:numPr>
      </w:pPr>
      <w:r>
        <w:t xml:space="preserve">Export volumes or margins disappoint after Q1’s outage, weakening the expected L&amp;T rebound.</w:t>
      </w:r>
    </w:p>
    <w:p>
      <w:pPr>
        <w:pStyle w:val="Compact"/>
        <w:numPr>
          <w:ilvl w:val="0"/>
          <w:numId w:val="1007"/>
        </w:numPr>
      </w:pPr>
      <w:r>
        <w:t xml:space="preserve">Capex rises, projects slip, or incremental processing capacity is not supported by enough customer activity.</w:t>
      </w:r>
    </w:p>
    <w:p>
      <w:pPr>
        <w:pStyle w:val="Compact"/>
        <w:numPr>
          <w:ilvl w:val="0"/>
          <w:numId w:val="1007"/>
        </w:numPr>
      </w:pPr>
      <w:r>
        <w:t xml:space="preserve">The stock’s valuation and recent run-up leave limited tolerance for merely in-line guidance.</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TRGP’s Q2 report should be a test of whether the company’s bullish operational narrative is translating into tangible throughput and cash-flow momentum. The highest-value confirmation would be</w:t>
      </w:r>
      <w:r>
        <w:t xml:space="preserve"> </w:t>
      </w:r>
      <w:r>
        <w:rPr>
          <w:b/>
          <w:bCs/>
        </w:rPr>
        <w:t xml:space="preserve">stronger Permian inlet volumes, recovering LPG exports, robust fractionation utilization, and maintained-or-raised 2026 guidance without higher capex</w:t>
      </w:r>
      <w:r>
        <w:t xml:space="preserve">.</w:t>
      </w:r>
    </w:p>
    <w:p>
      <w:pPr>
        <w:pStyle w:val="BodyText"/>
      </w:pPr>
      <w:r>
        <w:t xml:space="preserve">The near-term earnings upside from optimization is helpful, but the more durable equity thesis remains Targa’s ability to turn Permian supply growth into earnings at every stage—from processing to NGL transport, fractionation, and export. The Q2 call should provide an important update on whether that integrated growth engine is accelerating into 2027.</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2026-08-06T00:41:12Z</dcterms:created>
  <dcterms:modified xsi:type="dcterms:W3CDTF">2026-08-06T00:41:12Z</dcterms:modified>
</cp:coreProperties>
</file>

<file path=docProps/custom.xml><?xml version="1.0" encoding="utf-8"?>
<Properties xmlns="http://schemas.openxmlformats.org/officeDocument/2006/custom-properties" xmlns:vt="http://schemas.openxmlformats.org/officeDocument/2006/docPropsVTypes"/>
</file>