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Targa Resources Corp. (TRGP)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Targa Resources Corp.</w:t>
            </w:r>
          </w:p>
        </w:tc>
      </w:tr>
      <w:tr>
        <w:tc>
          <w:tcPr>
            <w:tcW w:type="dxa" w:w="4320"/>
          </w:tcPr>
          <w:p>
            <w:r>
              <w:rPr>
                <w:rFonts w:ascii="Calibri" w:hAnsi="Calibri"/>
                <w:b/>
                <w:sz w:val="22"/>
              </w:rPr>
              <w:t>Ticker</w:t>
            </w:r>
          </w:p>
        </w:tc>
        <w:tc>
          <w:tcPr>
            <w:tcW w:type="dxa" w:w="4320"/>
          </w:tcPr>
          <w:p>
            <w:r>
              <w:rPr>
                <w:rFonts w:ascii="Calibri" w:hAnsi="Calibri"/>
                <w:sz w:val="22"/>
              </w:rPr>
              <w:t>NYSE: TRGP</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6, 2026 — Before Market Open</w:t>
            </w:r>
          </w:p>
        </w:tc>
      </w:tr>
      <w:tr>
        <w:tc>
          <w:tcPr>
            <w:tcW w:type="dxa" w:w="4320"/>
          </w:tcPr>
          <w:p>
            <w:r>
              <w:rPr>
                <w:rFonts w:ascii="Calibri" w:hAnsi="Calibri"/>
                <w:b/>
                <w:sz w:val="22"/>
              </w:rPr>
              <w:t>Prepared</w:t>
            </w:r>
          </w:p>
        </w:tc>
        <w:tc>
          <w:tcPr>
            <w:tcW w:type="dxa" w:w="4320"/>
          </w:tcPr>
          <w:p>
            <w:r>
              <w:rPr>
                <w:rFonts w:ascii="Calibri" w:hAnsi="Calibri"/>
                <w:sz w:val="22"/>
              </w:rPr>
              <w:t>August 6, 2026</w:t>
            </w:r>
          </w:p>
        </w:tc>
      </w:tr>
      <w:tr>
        <w:tc>
          <w:tcPr>
            <w:tcW w:type="dxa" w:w="4320"/>
          </w:tcPr>
          <w:p>
            <w:r>
              <w:rPr>
                <w:rFonts w:ascii="Calibri" w:hAnsi="Calibri"/>
                <w:b/>
                <w:sz w:val="22"/>
              </w:rPr>
              <w:t>Last Earnings</w:t>
            </w:r>
          </w:p>
        </w:tc>
        <w:tc>
          <w:tcPr>
            <w:tcW w:type="dxa" w:w="4320"/>
          </w:tcPr>
          <w:p>
            <w:r>
              <w:rPr>
                <w:rFonts w:ascii="Calibri" w:hAnsi="Calibri"/>
                <w:sz w:val="22"/>
              </w:rPr>
              <w:t>May 7, 2026 (Q1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Setup leans toward a beat on Adjusted EBITDA — the bar is achievable given record Permian volumes already tracking above Q1 levels and LPG export demand surging; the biggest swing factor is whether marketing/optimization upside in the back half materializes ahead of management’s deliberately conservative guidance.</w:t>
      </w:r>
    </w:p>
    <w:p>
      <w:r>
        <w:rPr>
          <w:rFonts w:ascii="Calibri" w:hAnsi="Calibri"/>
          <w:b/>
          <w:color w:val="525866"/>
          <w:sz w:val="22"/>
        </w:rPr>
        <w:t xml:space="preserve">Heading into Q2 2026, the setup for TRGP is constructive. </w:t>
      </w:r>
      <w:r>
        <w:rPr>
          <w:rFonts w:ascii="Calibri" w:hAnsi="Calibri"/>
          <w:color w:val="525866"/>
          <w:sz w:val="22"/>
        </w:rPr>
        <w:t>Consensus Adjusted EBITDA of ~$1.47B represents a modest step-up from Q1’s record $1.40B, a bar management effectively pre-validated when it raised full-year 2026 EBITDA guidance to $5.7–$5.9B on the Q1 call — a $300M midpoint lift driven by marketing/optimization and LPG export demand. Management explicitly flagged that current Permian volumes are running more than 250 MMcf/d above Q1 averages, Train 11 fractionator came online early in Q2, and LPG loadings are expected to hit a record in Q2 despite an unplanned outage late in Q1. The estimate trajectory has been modestly positive since the Q1 print, with FY2026 EBITDA consensus rising from ~$5.83B to ~$5.87B, tracking guidance rather than diverging. The stock has returned ~+3% since the Q1 earnings date vs. the S&amp;P 500’s ~+5%, suggesting TRGP has slightly underperformed the market — the stock has not fully priced in a beat, leaving room for upside on a strong print. The key wildcard is the pace of Waha basis normalization: peers (ET, EPD, OKE) confirmed the GCC expansion filled quickly and Waha spreads have already narrowed materially, which could accelerate the release of shut-in Permian volumes and drive a meaningful volume beat — or, if normalization is faster than expected, compress near-term marketing/optimization margins that drove the Q1 guidance raise.</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Adjusted EBITDA of ~$1.47B is an achievable bar given management’s own raised guidance and Q2 volume commentary; </w:t>
      </w:r>
      <w:r>
        <w:rPr>
          <w:rFonts w:ascii="Calibri" w:hAnsi="Calibri"/>
          <w:b/>
          <w:color w:val="525866"/>
          <w:sz w:val="22"/>
        </w:rPr>
        <w:t>Permian inlet volumes</w:t>
      </w:r>
      <w:r>
        <w:rPr>
          <w:rFonts w:ascii="Calibri" w:hAnsi="Calibri"/>
          <w:color w:val="525866"/>
          <w:sz w:val="22"/>
        </w:rPr>
        <w:t xml:space="preserve"> are the bigger swing factor — consensus of ~7.03B Mmcf for the quarter implies continued low-double-digit YoY growth, consistent with management’s full-year target.</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Adjusted EBITDA ($M)</w:t>
            </w:r>
          </w:p>
        </w:tc>
        <w:tc>
          <w:tcPr>
            <w:tcW w:type="dxa" w:w="1234"/>
          </w:tcPr>
          <w:p>
            <w:r>
              <w:rPr>
                <w:rFonts w:ascii="Calibri" w:hAnsi="Calibri"/>
                <w:sz w:val="22"/>
              </w:rPr>
              <w:t>$1,402.7M</w:t>
            </w:r>
          </w:p>
        </w:tc>
        <w:tc>
          <w:tcPr>
            <w:tcW w:type="dxa" w:w="1234"/>
          </w:tcPr>
          <w:p>
            <w:r>
              <w:rPr>
                <w:rFonts w:ascii="Calibri" w:hAnsi="Calibri"/>
                <w:sz w:val="22"/>
              </w:rPr>
              <w:t>$1,163.0M</w:t>
            </w:r>
          </w:p>
        </w:tc>
        <w:tc>
          <w:tcPr>
            <w:tcW w:type="dxa" w:w="1234"/>
          </w:tcPr>
          <w:p>
            <w:r>
              <w:rPr>
                <w:rFonts w:ascii="Calibri" w:hAnsi="Calibri"/>
                <w:sz w:val="22"/>
              </w:rPr>
              <w:t>$1,467.9M</w:t>
            </w:r>
          </w:p>
        </w:tc>
        <w:tc>
          <w:tcPr>
            <w:tcW w:type="dxa" w:w="1234"/>
          </w:tcPr>
          <w:p>
            <w:r>
              <w:rPr>
                <w:rFonts w:ascii="Calibri" w:hAnsi="Calibri"/>
                <w:sz w:val="22"/>
              </w:rPr>
              <w:t>+26.2% YoY</w:t>
            </w:r>
          </w:p>
        </w:tc>
        <w:tc>
          <w:tcPr>
            <w:tcW w:type="dxa" w:w="1234"/>
          </w:tcPr>
          <w:p>
            <w:r>
              <w:rPr>
                <w:rFonts w:ascii="Calibri" w:hAnsi="Calibri"/>
                <w:sz w:val="22"/>
              </w:rPr>
              <w:t>$5,800M (mid of $5.7–$5.9B)</w:t>
            </w:r>
          </w:p>
        </w:tc>
        <w:tc>
          <w:tcPr>
            <w:tcW w:type="dxa" w:w="1234"/>
          </w:tcPr>
          <w:p>
            <w:r>
              <w:rPr>
                <w:rFonts w:ascii="Calibri" w:hAnsi="Calibri"/>
                <w:sz w:val="22"/>
              </w:rPr>
              <w:t>FY cons. $5,867M vs. $5,800M mid; +1.2% above mid</w:t>
            </w:r>
          </w:p>
        </w:tc>
      </w:tr>
      <w:tr>
        <w:tc>
          <w:tcPr>
            <w:tcW w:type="dxa" w:w="1234"/>
          </w:tcPr>
          <w:p>
            <w:r>
              <w:rPr>
                <w:rFonts w:ascii="Calibri" w:hAnsi="Calibri"/>
                <w:sz w:val="22"/>
              </w:rPr>
              <w:t>Permian Natural Gas Inlet Volume (Mmcf/quarter)</w:t>
            </w:r>
          </w:p>
        </w:tc>
        <w:tc>
          <w:tcPr>
            <w:tcW w:type="dxa" w:w="1234"/>
          </w:tcPr>
          <w:p>
            <w:r>
              <w:rPr>
                <w:rFonts w:ascii="Calibri" w:hAnsi="Calibri"/>
                <w:sz w:val="22"/>
              </w:rPr>
              <w:t>6,730,000 Mmcf</w:t>
            </w:r>
          </w:p>
        </w:tc>
        <w:tc>
          <w:tcPr>
            <w:tcW w:type="dxa" w:w="1234"/>
          </w:tcPr>
          <w:p>
            <w:r>
              <w:rPr>
                <w:rFonts w:ascii="Calibri" w:hAnsi="Calibri"/>
                <w:sz w:val="22"/>
              </w:rPr>
              <w:t>6,278,000 Mmcf</w:t>
            </w:r>
          </w:p>
        </w:tc>
        <w:tc>
          <w:tcPr>
            <w:tcW w:type="dxa" w:w="1234"/>
          </w:tcPr>
          <w:p>
            <w:r>
              <w:rPr>
                <w:rFonts w:ascii="Calibri" w:hAnsi="Calibri"/>
                <w:sz w:val="22"/>
              </w:rPr>
              <w:t>7,033,960 Mmcf</w:t>
            </w:r>
          </w:p>
        </w:tc>
        <w:tc>
          <w:tcPr>
            <w:tcW w:type="dxa" w:w="1234"/>
          </w:tcPr>
          <w:p>
            <w:r>
              <w:rPr>
                <w:rFonts w:ascii="Calibri" w:hAnsi="Calibri"/>
                <w:sz w:val="22"/>
              </w:rPr>
              <w:t>+12.0% YoY</w:t>
            </w:r>
          </w:p>
        </w:tc>
        <w:tc>
          <w:tcPr>
            <w:tcW w:type="dxa" w:w="1234"/>
          </w:tcPr>
          <w:p>
            <w:r>
              <w:rPr>
                <w:rFonts w:ascii="Calibri" w:hAnsi="Calibri"/>
                <w:sz w:val="22"/>
              </w:rPr>
              <w:t>Low double-digit % growth (FY2026)</w:t>
            </w:r>
          </w:p>
        </w:tc>
        <w:tc>
          <w:tcPr>
            <w:tcW w:type="dxa" w:w="1234"/>
          </w:tcPr>
          <w:p>
            <w:r>
              <w:rPr>
                <w:rFonts w:ascii="Calibri" w:hAnsi="Calibri"/>
                <w:sz w:val="22"/>
              </w:rPr>
              <w:t>Tracking guidance; consistent with ~low-teens YoY</w:t>
            </w:r>
          </w:p>
        </w:tc>
      </w:tr>
      <w:tr>
        <w:tc>
          <w:tcPr>
            <w:tcW w:type="dxa" w:w="1234"/>
          </w:tcPr>
          <w:p>
            <w:r>
              <w:rPr>
                <w:rFonts w:ascii="Calibri" w:hAnsi="Calibri"/>
                <w:sz w:val="22"/>
              </w:rPr>
              <w:t>Fractionation Sales Volume (Mbpd)</w:t>
            </w:r>
          </w:p>
        </w:tc>
        <w:tc>
          <w:tcPr>
            <w:tcW w:type="dxa" w:w="1234"/>
          </w:tcPr>
          <w:p>
            <w:r>
              <w:rPr>
                <w:rFonts w:ascii="Calibri" w:hAnsi="Calibri"/>
                <w:sz w:val="22"/>
              </w:rPr>
              <w:t>1,145.2 Mbpd</w:t>
            </w:r>
          </w:p>
        </w:tc>
        <w:tc>
          <w:tcPr>
            <w:tcW w:type="dxa" w:w="1234"/>
          </w:tcPr>
          <w:p>
            <w:r>
              <w:rPr>
                <w:rFonts w:ascii="Calibri" w:hAnsi="Calibri"/>
                <w:sz w:val="22"/>
              </w:rPr>
              <w:t>969.1 Mbpd</w:t>
            </w:r>
          </w:p>
        </w:tc>
        <w:tc>
          <w:tcPr>
            <w:tcW w:type="dxa" w:w="1234"/>
          </w:tcPr>
          <w:p>
            <w:r>
              <w:rPr>
                <w:rFonts w:ascii="Calibri" w:hAnsi="Calibri"/>
                <w:sz w:val="22"/>
              </w:rPr>
              <w:t>1,190.3 Mbpd</w:t>
            </w:r>
          </w:p>
        </w:tc>
        <w:tc>
          <w:tcPr>
            <w:tcW w:type="dxa" w:w="1234"/>
          </w:tcPr>
          <w:p>
            <w:r>
              <w:rPr>
                <w:rFonts w:ascii="Calibri" w:hAnsi="Calibri"/>
                <w:sz w:val="22"/>
              </w:rPr>
              <w:t>+22.8% YoY</w:t>
            </w:r>
          </w:p>
        </w:tc>
        <w:tc>
          <w:tcPr>
            <w:tcW w:type="dxa" w:w="1234"/>
          </w:tcPr>
          <w:p>
            <w:r>
              <w:rPr>
                <w:rFonts w:ascii="Calibri" w:hAnsi="Calibri"/>
                <w:sz w:val="22"/>
              </w:rPr>
              <w:t>N/A (no specific quarterly frac guidance)</w:t>
            </w:r>
          </w:p>
        </w:tc>
        <w:tc>
          <w:tcPr>
            <w:tcW w:type="dxa" w:w="1234"/>
          </w:tcPr>
          <w:p>
            <w:r>
              <w:rPr>
                <w:rFonts w:ascii="Calibri" w:hAnsi="Calibri"/>
                <w:sz w:val="22"/>
              </w:rPr>
              <w:t>N/A</w:t>
            </w:r>
          </w:p>
        </w:tc>
      </w:tr>
      <w:tr>
        <w:tc>
          <w:tcPr>
            <w:tcW w:type="dxa" w:w="1234"/>
          </w:tcPr>
          <w:p>
            <w:r>
              <w:rPr>
                <w:rFonts w:ascii="Calibri" w:hAnsi="Calibri"/>
                <w:sz w:val="22"/>
              </w:rPr>
              <w:t>LPG Export Volumes (Mbpd)</w:t>
            </w:r>
          </w:p>
        </w:tc>
        <w:tc>
          <w:tcPr>
            <w:tcW w:type="dxa" w:w="1234"/>
          </w:tcPr>
          <w:p>
            <w:r>
              <w:rPr>
                <w:rFonts w:ascii="Calibri" w:hAnsi="Calibri"/>
                <w:sz w:val="22"/>
              </w:rPr>
              <w:t>437.0 Mbpd</w:t>
            </w:r>
          </w:p>
        </w:tc>
        <w:tc>
          <w:tcPr>
            <w:tcW w:type="dxa" w:w="1234"/>
          </w:tcPr>
          <w:p>
            <w:r>
              <w:rPr>
                <w:rFonts w:ascii="Calibri" w:hAnsi="Calibri"/>
                <w:sz w:val="22"/>
              </w:rPr>
              <w:t>423.1 Mbpd</w:t>
            </w:r>
          </w:p>
        </w:tc>
        <w:tc>
          <w:tcPr>
            <w:tcW w:type="dxa" w:w="1234"/>
          </w:tcPr>
          <w:p>
            <w:r>
              <w:rPr>
                <w:rFonts w:ascii="Calibri" w:hAnsi="Calibri"/>
                <w:sz w:val="22"/>
              </w:rPr>
              <w:t>467.7 Mbpd</w:t>
            </w:r>
          </w:p>
        </w:tc>
        <w:tc>
          <w:tcPr>
            <w:tcW w:type="dxa" w:w="1234"/>
          </w:tcPr>
          <w:p>
            <w:r>
              <w:rPr>
                <w:rFonts w:ascii="Calibri" w:hAnsi="Calibri"/>
                <w:sz w:val="22"/>
              </w:rPr>
              <w:t>+10.5% YoY</w:t>
            </w:r>
          </w:p>
        </w:tc>
        <w:tc>
          <w:tcPr>
            <w:tcW w:type="dxa" w:w="1234"/>
          </w:tcPr>
          <w:p>
            <w:r>
              <w:rPr>
                <w:rFonts w:ascii="Calibri" w:hAnsi="Calibri"/>
                <w:sz w:val="22"/>
              </w:rPr>
              <w:t>Record Q2 loadings guided (mgmt. commentary)</w:t>
            </w:r>
          </w:p>
        </w:tc>
        <w:tc>
          <w:tcPr>
            <w:tcW w:type="dxa" w:w="1234"/>
          </w:tcPr>
          <w:p>
            <w:r>
              <w:rPr>
                <w:rFonts w:ascii="Calibri" w:hAnsi="Calibri"/>
                <w:sz w:val="22"/>
              </w:rPr>
              <w:t>Consensus above prior-year; record Q2 guided</w:t>
            </w:r>
          </w:p>
        </w:tc>
      </w:tr>
      <w:tr>
        <w:tc>
          <w:tcPr>
            <w:tcW w:type="dxa" w:w="1234"/>
          </w:tcPr>
          <w:p>
            <w:r>
              <w:rPr>
                <w:rFonts w:ascii="Calibri" w:hAnsi="Calibri"/>
                <w:sz w:val="22"/>
              </w:rPr>
              <w:t>NGL Pipeline Volume (Mbpd)</w:t>
            </w:r>
          </w:p>
        </w:tc>
        <w:tc>
          <w:tcPr>
            <w:tcW w:type="dxa" w:w="1234"/>
          </w:tcPr>
          <w:p>
            <w:r>
              <w:rPr>
                <w:rFonts w:ascii="Calibri" w:hAnsi="Calibri"/>
                <w:sz w:val="22"/>
              </w:rPr>
              <w:t>1,016.8 Mbpd</w:t>
            </w:r>
          </w:p>
        </w:tc>
        <w:tc>
          <w:tcPr>
            <w:tcW w:type="dxa" w:w="1234"/>
          </w:tcPr>
          <w:p>
            <w:r>
              <w:rPr>
                <w:rFonts w:ascii="Calibri" w:hAnsi="Calibri"/>
                <w:sz w:val="22"/>
              </w:rPr>
              <w:t>961.2 Mbpd</w:t>
            </w:r>
          </w:p>
        </w:tc>
        <w:tc>
          <w:tcPr>
            <w:tcW w:type="dxa" w:w="1234"/>
          </w:tcPr>
          <w:p>
            <w:r>
              <w:rPr>
                <w:rFonts w:ascii="Calibri" w:hAnsi="Calibri"/>
                <w:sz w:val="22"/>
              </w:rPr>
              <w:t>1,070.9 Mbpd</w:t>
            </w:r>
          </w:p>
        </w:tc>
        <w:tc>
          <w:tcPr>
            <w:tcW w:type="dxa" w:w="1234"/>
          </w:tcPr>
          <w:p>
            <w:r>
              <w:rPr>
                <w:rFonts w:ascii="Calibri" w:hAnsi="Calibri"/>
                <w:sz w:val="22"/>
              </w:rPr>
              <w:t>+11.4% YoY</w:t>
            </w:r>
          </w:p>
        </w:tc>
        <w:tc>
          <w:tcPr>
            <w:tcW w:type="dxa" w:w="1234"/>
          </w:tcPr>
          <w:p>
            <w:r>
              <w:rPr>
                <w:rFonts w:ascii="Calibri" w:hAnsi="Calibri"/>
                <w:sz w:val="22"/>
              </w:rPr>
              <w:t>N/A (no specific guidance)</w:t>
            </w:r>
          </w:p>
        </w:tc>
        <w:tc>
          <w:tcPr>
            <w:tcW w:type="dxa" w:w="1234"/>
          </w:tcPr>
          <w:p>
            <w:r>
              <w:rPr>
                <w:rFonts w:ascii="Calibri" w:hAnsi="Calibri"/>
                <w:sz w:val="22"/>
              </w:rPr>
              <w:t>N/A</w:t>
            </w:r>
          </w:p>
        </w:tc>
      </w:tr>
      <w:tr>
        <w:tc>
          <w:tcPr>
            <w:tcW w:type="dxa" w:w="1234"/>
          </w:tcPr>
          <w:p>
            <w:r>
              <w:rPr>
                <w:rFonts w:ascii="Calibri" w:hAnsi="Calibri"/>
                <w:sz w:val="22"/>
              </w:rPr>
              <w:t>Total Revenues ($M)</w:t>
            </w:r>
          </w:p>
        </w:tc>
        <w:tc>
          <w:tcPr>
            <w:tcW w:type="dxa" w:w="1234"/>
          </w:tcPr>
          <w:p>
            <w:r>
              <w:rPr>
                <w:rFonts w:ascii="Calibri" w:hAnsi="Calibri"/>
                <w:sz w:val="22"/>
              </w:rPr>
              <w:t>$4,094.7M</w:t>
            </w:r>
          </w:p>
        </w:tc>
        <w:tc>
          <w:tcPr>
            <w:tcW w:type="dxa" w:w="1234"/>
          </w:tcPr>
          <w:p>
            <w:r>
              <w:rPr>
                <w:rFonts w:ascii="Calibri" w:hAnsi="Calibri"/>
                <w:sz w:val="22"/>
              </w:rPr>
              <w:t>$4,260.1M</w:t>
            </w:r>
          </w:p>
        </w:tc>
        <w:tc>
          <w:tcPr>
            <w:tcW w:type="dxa" w:w="1234"/>
          </w:tcPr>
          <w:p>
            <w:r>
              <w:rPr>
                <w:rFonts w:ascii="Calibri" w:hAnsi="Calibri"/>
                <w:sz w:val="22"/>
              </w:rPr>
              <w:t>$5,404.6M</w:t>
            </w:r>
          </w:p>
        </w:tc>
        <w:tc>
          <w:tcPr>
            <w:tcW w:type="dxa" w:w="1234"/>
          </w:tcPr>
          <w:p>
            <w:r>
              <w:rPr>
                <w:rFonts w:ascii="Calibri" w:hAnsi="Calibri"/>
                <w:sz w:val="22"/>
              </w:rPr>
              <w:t>+26.9%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EPS — Diluted (Adjusted, $)</w:t>
            </w:r>
          </w:p>
        </w:tc>
        <w:tc>
          <w:tcPr>
            <w:tcW w:type="dxa" w:w="1234"/>
          </w:tcPr>
          <w:p>
            <w:r>
              <w:rPr>
                <w:rFonts w:ascii="Calibri" w:hAnsi="Calibri"/>
                <w:sz w:val="22"/>
              </w:rPr>
              <w:t>$2.23</w:t>
            </w:r>
          </w:p>
        </w:tc>
        <w:tc>
          <w:tcPr>
            <w:tcW w:type="dxa" w:w="1234"/>
          </w:tcPr>
          <w:p>
            <w:r>
              <w:rPr>
                <w:rFonts w:ascii="Calibri" w:hAnsi="Calibri"/>
                <w:sz w:val="22"/>
              </w:rPr>
              <w:t>$2.90</w:t>
            </w:r>
          </w:p>
        </w:tc>
        <w:tc>
          <w:tcPr>
            <w:tcW w:type="dxa" w:w="1234"/>
          </w:tcPr>
          <w:p>
            <w:r>
              <w:rPr>
                <w:rFonts w:ascii="Calibri" w:hAnsi="Calibri"/>
                <w:sz w:val="22"/>
              </w:rPr>
              <w:t>$2.80</w:t>
            </w:r>
          </w:p>
        </w:tc>
        <w:tc>
          <w:tcPr>
            <w:tcW w:type="dxa" w:w="1234"/>
          </w:tcPr>
          <w:p>
            <w:r>
              <w:rPr>
                <w:rFonts w:ascii="Calibri" w:hAnsi="Calibri"/>
                <w:sz w:val="22"/>
              </w:rPr>
              <w:t>-3.6% YoY</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color w:val="525866"/>
          <w:sz w:val="22"/>
        </w:rPr>
        <w:t>Source: Visible Alpha Consensus and Actuals Data. All consensus figures as of latest available (August 6, 2026). Note: Revenue consensus is notably higher than actuals in recent quarters due to commodity price pass-through in product purchases; Adjusted EBITDA is the primary valuation and performance metric.</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KPI 1: Adjusted EBITDA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$1,402.7M</w:t>
            </w:r>
          </w:p>
        </w:tc>
        <w:tc>
          <w:tcPr>
            <w:tcW w:type="dxa" w:w="1728"/>
          </w:tcPr>
          <w:p>
            <w:r>
              <w:rPr>
                <w:rFonts w:ascii="Calibri" w:hAnsi="Calibri"/>
                <w:sz w:val="22"/>
              </w:rPr>
              <w:t>$1,351.2M</w:t>
            </w:r>
          </w:p>
        </w:tc>
        <w:tc>
          <w:tcPr>
            <w:tcW w:type="dxa" w:w="1728"/>
          </w:tcPr>
          <w:p>
            <w:r>
              <w:rPr>
                <w:rFonts w:ascii="Calibri" w:hAnsi="Calibri"/>
                <w:b/>
                <w:color w:val="30A46C"/>
                <w:sz w:val="22"/>
              </w:rPr>
              <w:t>+3.8%</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$1,341.1M</w:t>
            </w:r>
          </w:p>
        </w:tc>
        <w:tc>
          <w:tcPr>
            <w:tcW w:type="dxa" w:w="1728"/>
          </w:tcPr>
          <w:p>
            <w:r>
              <w:rPr>
                <w:rFonts w:ascii="Calibri" w:hAnsi="Calibri"/>
                <w:sz w:val="22"/>
              </w:rPr>
              <w:t>$1,272.8M</w:t>
            </w:r>
          </w:p>
        </w:tc>
        <w:tc>
          <w:tcPr>
            <w:tcW w:type="dxa" w:w="1728"/>
          </w:tcPr>
          <w:p>
            <w:r>
              <w:rPr>
                <w:rFonts w:ascii="Calibri" w:hAnsi="Calibri"/>
                <w:b/>
                <w:color w:val="30A46C"/>
                <w:sz w:val="22"/>
              </w:rPr>
              <w:t>+5.4%</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$1,274.8M</w:t>
            </w:r>
          </w:p>
        </w:tc>
        <w:tc>
          <w:tcPr>
            <w:tcW w:type="dxa" w:w="1728"/>
          </w:tcPr>
          <w:p>
            <w:r>
              <w:rPr>
                <w:rFonts w:ascii="Calibri" w:hAnsi="Calibri"/>
                <w:sz w:val="22"/>
              </w:rPr>
              <w:t>$1,210.9M</w:t>
            </w:r>
          </w:p>
        </w:tc>
        <w:tc>
          <w:tcPr>
            <w:tcW w:type="dxa" w:w="1728"/>
          </w:tcPr>
          <w:p>
            <w:r>
              <w:rPr>
                <w:rFonts w:ascii="Calibri" w:hAnsi="Calibri"/>
                <w:b/>
                <w:color w:val="30A46C"/>
                <w:sz w:val="22"/>
              </w:rPr>
              <w:t>+5.3%</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$1,163.0M</w:t>
            </w:r>
          </w:p>
        </w:tc>
        <w:tc>
          <w:tcPr>
            <w:tcW w:type="dxa" w:w="1728"/>
          </w:tcPr>
          <w:p>
            <w:r>
              <w:rPr>
                <w:rFonts w:ascii="Calibri" w:hAnsi="Calibri"/>
                <w:sz w:val="22"/>
              </w:rPr>
              <w:t>$1,149.4M</w:t>
            </w:r>
          </w:p>
        </w:tc>
        <w:tc>
          <w:tcPr>
            <w:tcW w:type="dxa" w:w="1728"/>
          </w:tcPr>
          <w:p>
            <w:r>
              <w:rPr>
                <w:rFonts w:ascii="Calibri" w:hAnsi="Calibri"/>
                <w:b/>
                <w:color w:val="30A46C"/>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N/A — not in VA for this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TRGP has beaten Adjusted EBITDA consensus in each of the last four reported quarters, with beat magnitude ranging from +1.2% to +5.4%. The trend of consistent beats reflects management’s conservative guidance philosophy and strong Permian volume execution.</w:t>
      </w:r>
    </w:p>
    <w:p>
      <w:pPr>
        <w:pStyle w:val="Heading3"/>
      </w:pPr>
      <w:r>
        <w:rPr>
          <w:rFonts w:ascii="Calibri" w:hAnsi="Calibri"/>
          <w:b/>
          <w:color w:val="3B4259"/>
          <w:sz w:val="24"/>
        </w:rPr>
        <w:t>KPI 2: Permian Natural Gas Inlet Volume (Mmcf/quarter)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(Mmcf)</w:t>
            </w:r>
          </w:p>
        </w:tc>
        <w:tc>
          <w:tcPr>
            <w:tcW w:type="dxa" w:w="1728"/>
            <w:shd w:val="clear" w:color="auto" w:fill="3B4259"/>
          </w:tcPr>
          <w:p>
            <w:r>
              <w:rPr>
                <w:rFonts w:ascii="Calibri" w:hAnsi="Calibri"/>
                <w:b/>
                <w:color w:val="FFFFFF"/>
                <w:sz w:val="22"/>
              </w:rPr>
              <w:t>Consensus (Mmcf)</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6,730,000</w:t>
            </w:r>
          </w:p>
        </w:tc>
        <w:tc>
          <w:tcPr>
            <w:tcW w:type="dxa" w:w="1728"/>
          </w:tcPr>
          <w:p>
            <w:r>
              <w:rPr>
                <w:rFonts w:ascii="Calibri" w:hAnsi="Calibri"/>
                <w:sz w:val="22"/>
              </w:rPr>
              <w:t>6,837,660</w:t>
            </w:r>
          </w:p>
        </w:tc>
        <w:tc>
          <w:tcPr>
            <w:tcW w:type="dxa" w:w="1728"/>
          </w:tcPr>
          <w:p>
            <w:r>
              <w:rPr>
                <w:rFonts w:ascii="Calibri" w:hAnsi="Calibri"/>
                <w:b/>
                <w:color w:val="E5484D"/>
                <w:sz w:val="22"/>
              </w:rPr>
              <w:t>-1.6%</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6,650,700</w:t>
            </w:r>
          </w:p>
        </w:tc>
        <w:tc>
          <w:tcPr>
            <w:tcW w:type="dxa" w:w="1728"/>
          </w:tcPr>
          <w:p>
            <w:r>
              <w:rPr>
                <w:rFonts w:ascii="Calibri" w:hAnsi="Calibri"/>
                <w:sz w:val="22"/>
              </w:rPr>
              <w:t>6,761,180</w:t>
            </w:r>
          </w:p>
        </w:tc>
        <w:tc>
          <w:tcPr>
            <w:tcW w:type="dxa" w:w="1728"/>
          </w:tcPr>
          <w:p>
            <w:r>
              <w:rPr>
                <w:rFonts w:ascii="Calibri" w:hAnsi="Calibri"/>
                <w:b/>
                <w:color w:val="E5484D"/>
                <w:sz w:val="22"/>
              </w:rPr>
              <w:t>-1.6%</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6,621,600</w:t>
            </w:r>
          </w:p>
        </w:tc>
        <w:tc>
          <w:tcPr>
            <w:tcW w:type="dxa" w:w="1728"/>
          </w:tcPr>
          <w:p>
            <w:r>
              <w:rPr>
                <w:rFonts w:ascii="Calibri" w:hAnsi="Calibri"/>
                <w:sz w:val="22"/>
              </w:rPr>
              <w:t>6,569,910</w:t>
            </w:r>
          </w:p>
        </w:tc>
        <w:tc>
          <w:tcPr>
            <w:tcW w:type="dxa" w:w="1728"/>
          </w:tcPr>
          <w:p>
            <w:r>
              <w:rPr>
                <w:rFonts w:ascii="Calibri" w:hAnsi="Calibri"/>
                <w:b/>
                <w:color w:val="30A46C"/>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6,278,000</w:t>
            </w:r>
          </w:p>
        </w:tc>
        <w:tc>
          <w:tcPr>
            <w:tcW w:type="dxa" w:w="1728"/>
          </w:tcPr>
          <w:p>
            <w:r>
              <w:rPr>
                <w:rFonts w:ascii="Calibri" w:hAnsi="Calibri"/>
                <w:sz w:val="22"/>
              </w:rPr>
              <w:t>6,197,860</w:t>
            </w:r>
          </w:p>
        </w:tc>
        <w:tc>
          <w:tcPr>
            <w:tcW w:type="dxa" w:w="1728"/>
          </w:tcPr>
          <w:p>
            <w:r>
              <w:rPr>
                <w:rFonts w:ascii="Calibri" w:hAnsi="Calibri"/>
                <w:b/>
                <w:color w:val="30A46C"/>
                <w:sz w:val="22"/>
              </w:rPr>
              <w:t>+1.3%</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Permian volume actuals have been mixed vs. consensus — beating in Q2–Q3 2025 but missing slightly in Q4 2025 and Q1 2026, largely due to Waha-driven producer shut-ins. Management has maintained its full-year low-double-digit growth target despite the shut-ins, and Q2 volumes are tracking well above Q1 averages per management’s own commentary.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was raised materially at Q1 2026 earnings (May 7) and has not been revised since; management tone is notably confident, characterizing the back-half marketing/optimization forecast as deliberately conservative and flagging Q2 LPG loadings on track for a record.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Adjusted EBITDA</w:t>
            </w:r>
          </w:p>
        </w:tc>
        <w:tc>
          <w:tcPr>
            <w:tcW w:type="dxa" w:w="1728"/>
          </w:tcPr>
          <w:p>
            <w:r>
              <w:rPr>
                <w:rFonts w:ascii="Calibri" w:hAnsi="Calibri"/>
                <w:sz w:val="22"/>
              </w:rPr>
              <w:t>$5.7B – $5.9B (midpoint $5.8B); raised from prior $5.4–$5.6B midpoint</w:t>
            </w:r>
          </w:p>
        </w:tc>
        <w:tc>
          <w:tcPr>
            <w:tcW w:type="dxa" w:w="1728"/>
          </w:tcPr>
          <w:p>
            <w:r>
              <w:rPr>
                <w:rFonts w:ascii="Calibri" w:hAnsi="Calibri"/>
                <w:sz w:val="22"/>
              </w:rPr>
              <w:t>—</w:t>
            </w:r>
          </w:p>
        </w:tc>
        <w:tc>
          <w:tcPr>
            <w:tcW w:type="dxa" w:w="1728"/>
          </w:tcPr>
          <w:p>
            <w:r>
              <w:rPr>
                <w:rFonts w:ascii="Calibri" w:hAnsi="Calibri"/>
                <w:sz w:val="22"/>
              </w:rPr>
              <w:t>$5,866.9M</w:t>
            </w:r>
          </w:p>
        </w:tc>
        <w:tc>
          <w:tcPr>
            <w:tcW w:type="dxa" w:w="1728"/>
          </w:tcPr>
          <w:p>
            <w:r>
              <w:rPr>
                <w:rFonts w:ascii="Calibri" w:hAnsi="Calibri"/>
                <w:sz w:val="22"/>
              </w:rPr>
              <w:t>↑ Raised at Q1 2026 earnings; driven by marketing/optimization and LPG export demand; back-half guidance described as conservative</w:t>
            </w:r>
          </w:p>
        </w:tc>
      </w:tr>
      <w:tr>
        <w:tc>
          <w:tcPr>
            <w:tcW w:type="dxa" w:w="1728"/>
          </w:tcPr>
          <w:p>
            <w:r>
              <w:rPr>
                <w:rFonts w:ascii="Calibri" w:hAnsi="Calibri"/>
                <w:sz w:val="22"/>
              </w:rPr>
              <w:t>FY2026 Net Growth Capex</w:t>
            </w:r>
          </w:p>
        </w:tc>
        <w:tc>
          <w:tcPr>
            <w:tcW w:type="dxa" w:w="1728"/>
          </w:tcPr>
          <w:p>
            <w:r>
              <w:rPr>
                <w:rFonts w:ascii="Calibri" w:hAnsi="Calibri"/>
                <w:sz w:val="22"/>
              </w:rPr>
              <w:t>~$4.5B</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Unchanged; two new Delaware plants (Roadrunner 3, Copperhead 2) announced but absorbed within existing capex envelope</w:t>
            </w:r>
          </w:p>
        </w:tc>
      </w:tr>
      <w:tr>
        <w:tc>
          <w:tcPr>
            <w:tcW w:type="dxa" w:w="1728"/>
          </w:tcPr>
          <w:p>
            <w:r>
              <w:rPr>
                <w:rFonts w:ascii="Calibri" w:hAnsi="Calibri"/>
                <w:sz w:val="22"/>
              </w:rPr>
              <w:t>FY2026 Net Maintenance Capex</w:t>
            </w:r>
          </w:p>
        </w:tc>
        <w:tc>
          <w:tcPr>
            <w:tcW w:type="dxa" w:w="1728"/>
          </w:tcPr>
          <w:p>
            <w:r>
              <w:rPr>
                <w:rFonts w:ascii="Calibri" w:hAnsi="Calibri"/>
                <w:sz w:val="22"/>
              </w:rPr>
              <w:t>~$250M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Permian Volume Growth (FY2026)</w:t>
            </w:r>
          </w:p>
        </w:tc>
        <w:tc>
          <w:tcPr>
            <w:tcW w:type="dxa" w:w="1728"/>
          </w:tcPr>
          <w:p>
            <w:r>
              <w:rPr>
                <w:rFonts w:ascii="Calibri" w:hAnsi="Calibri"/>
                <w:sz w:val="22"/>
              </w:rPr>
              <w:t>Low double-digit % YoY growth</w:t>
            </w:r>
          </w:p>
        </w:tc>
        <w:tc>
          <w:tcPr>
            <w:tcW w:type="dxa" w:w="1728"/>
          </w:tcPr>
          <w:p>
            <w:r>
              <w:rPr>
                <w:rFonts w:ascii="Calibri" w:hAnsi="Calibri"/>
                <w:sz w:val="22"/>
              </w:rPr>
              <w:t>—</w:t>
            </w:r>
          </w:p>
        </w:tc>
        <w:tc>
          <w:tcPr>
            <w:tcW w:type="dxa" w:w="1728"/>
          </w:tcPr>
          <w:p>
            <w:r>
              <w:rPr>
                <w:rFonts w:ascii="Calibri" w:hAnsi="Calibri"/>
                <w:sz w:val="22"/>
              </w:rPr>
              <w:t>~+12% YoY implied by consensus</w:t>
            </w:r>
          </w:p>
        </w:tc>
        <w:tc>
          <w:tcPr>
            <w:tcW w:type="dxa" w:w="1728"/>
          </w:tcPr>
          <w:p>
            <w:r>
              <w:rPr>
                <w:rFonts w:ascii="Calibri" w:hAnsi="Calibri"/>
                <w:sz w:val="22"/>
              </w:rPr>
              <w:t>Maintained despite Waha shut-ins; Q2 volumes tracking &gt;250 MMcf/d above Q1 average per mgmt.</w:t>
            </w:r>
          </w:p>
        </w:tc>
      </w:tr>
      <w:tr>
        <w:tc>
          <w:tcPr>
            <w:tcW w:type="dxa" w:w="1728"/>
          </w:tcPr>
          <w:p>
            <w:r>
              <w:rPr>
                <w:rFonts w:ascii="Calibri" w:hAnsi="Calibri"/>
                <w:sz w:val="22"/>
              </w:rPr>
              <w:t>Common Dividend (Annualized)</w:t>
            </w:r>
          </w:p>
        </w:tc>
        <w:tc>
          <w:tcPr>
            <w:tcW w:type="dxa" w:w="1728"/>
          </w:tcPr>
          <w:p>
            <w:r>
              <w:rPr>
                <w:rFonts w:ascii="Calibri" w:hAnsi="Calibri"/>
                <w:sz w:val="22"/>
              </w:rPr>
              <w:t>$5.00/share ($1.25/quarter)</w:t>
            </w:r>
          </w:p>
        </w:tc>
        <w:tc>
          <w:tcPr>
            <w:tcW w:type="dxa" w:w="1728"/>
          </w:tcPr>
          <w:p>
            <w:r>
              <w:rPr>
                <w:rFonts w:ascii="Calibri" w:hAnsi="Calibri"/>
                <w:sz w:val="22"/>
              </w:rPr>
              <w:t>—</w:t>
            </w:r>
          </w:p>
        </w:tc>
        <w:tc>
          <w:tcPr>
            <w:tcW w:type="dxa" w:w="1728"/>
          </w:tcPr>
          <w:p>
            <w:r>
              <w:rPr>
                <w:rFonts w:ascii="Calibri" w:hAnsi="Calibri"/>
                <w:sz w:val="22"/>
              </w:rPr>
              <w:t>$5.00/share</w:t>
            </w:r>
          </w:p>
        </w:tc>
        <w:tc>
          <w:tcPr>
            <w:tcW w:type="dxa" w:w="1728"/>
          </w:tcPr>
          <w:p>
            <w:r>
              <w:rPr>
                <w:rFonts w:ascii="Calibri" w:hAnsi="Calibri"/>
                <w:sz w:val="22"/>
              </w:rPr>
              <w:t>Q2 2026 dividend of $1.25/share declared July 16, 2026; payable August 14, 2026; consistent with Q1 level</w:t>
            </w:r>
          </w:p>
        </w:tc>
      </w:tr>
      <w:tr>
        <w:tc>
          <w:tcPr>
            <w:tcW w:type="dxa" w:w="1728"/>
          </w:tcPr>
          <w:p>
            <w:r>
              <w:rPr>
                <w:rFonts w:ascii="Calibri" w:hAnsi="Calibri"/>
                <w:sz w:val="22"/>
              </w:rPr>
              <w:t>LPG Export Loadings (Q2 2026)</w:t>
            </w:r>
          </w:p>
        </w:tc>
        <w:tc>
          <w:tcPr>
            <w:tcW w:type="dxa" w:w="1728"/>
          </w:tcPr>
          <w:p>
            <w:r>
              <w:rPr>
                <w:rFonts w:ascii="Calibri" w:hAnsi="Calibri"/>
                <w:sz w:val="22"/>
              </w:rPr>
              <w:t>Record Q2 loadings guided; leveraging butane demand from Middle East supply disruptions</w:t>
            </w:r>
          </w:p>
        </w:tc>
        <w:tc>
          <w:tcPr>
            <w:tcW w:type="dxa" w:w="1728"/>
          </w:tcPr>
          <w:p>
            <w:r>
              <w:rPr>
                <w:rFonts w:ascii="Calibri" w:hAnsi="Calibri"/>
                <w:sz w:val="22"/>
              </w:rPr>
              <w:t>—</w:t>
            </w:r>
          </w:p>
        </w:tc>
        <w:tc>
          <w:tcPr>
            <w:tcW w:type="dxa" w:w="1728"/>
          </w:tcPr>
          <w:p>
            <w:r>
              <w:rPr>
                <w:rFonts w:ascii="Calibri" w:hAnsi="Calibri"/>
                <w:sz w:val="22"/>
              </w:rPr>
              <w:t>467.7 Mbpd consensus</w:t>
            </w:r>
          </w:p>
        </w:tc>
        <w:tc>
          <w:tcPr>
            <w:tcW w:type="dxa" w:w="1728"/>
          </w:tcPr>
          <w:p>
            <w:r>
              <w:rPr>
                <w:rFonts w:ascii="Calibri" w:hAnsi="Calibri"/>
                <w:sz w:val="22"/>
              </w:rPr>
              <w:t>Mgmt. guided record Q2 loadings; unplanned outage late Q1 resolved; additional butane contracts secured</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higher since the Q1 print, tracking guidance rather than diverging; FY2026 EBITDA consensus sits ~1.2% above the guidance midpoint, suggesting the street is giving modest credit for management’s stated conservatism on back-half marketing — a small but real cushion heading into the print.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12, 2026)</w:t>
            </w:r>
          </w:p>
        </w:tc>
        <w:tc>
          <w:tcPr>
            <w:tcW w:type="dxa" w:w="1080"/>
            <w:shd w:val="clear" w:color="auto" w:fill="3B4259"/>
          </w:tcPr>
          <w:p>
            <w:r>
              <w:rPr>
                <w:rFonts w:ascii="Calibri" w:hAnsi="Calibri"/>
                <w:b/>
                <w:color w:val="FFFFFF"/>
                <w:sz w:val="22"/>
              </w:rPr>
              <w:t>Current Consensus (Aug 6,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Adjusted EBITDA — Q2 2026</w:t>
            </w:r>
          </w:p>
        </w:tc>
        <w:tc>
          <w:tcPr>
            <w:tcW w:type="dxa" w:w="1080"/>
          </w:tcPr>
          <w:p>
            <w:r>
              <w:rPr>
                <w:rFonts w:ascii="Calibri" w:hAnsi="Calibri"/>
                <w:sz w:val="22"/>
              </w:rPr>
              <w:t>$1,435.6M</w:t>
            </w:r>
          </w:p>
        </w:tc>
        <w:tc>
          <w:tcPr>
            <w:tcW w:type="dxa" w:w="1080"/>
          </w:tcPr>
          <w:p>
            <w:r>
              <w:rPr>
                <w:rFonts w:ascii="Calibri" w:hAnsi="Calibri"/>
                <w:sz w:val="22"/>
              </w:rPr>
              <w:t>$1,467.9M</w:t>
            </w:r>
          </w:p>
        </w:tc>
        <w:tc>
          <w:tcPr>
            <w:tcW w:type="dxa" w:w="1080"/>
          </w:tcPr>
          <w:p>
            <w:r>
              <w:rPr>
                <w:rFonts w:ascii="Calibri" w:hAnsi="Calibri"/>
                <w:b/>
                <w:color w:val="30A46C"/>
                <w:sz w:val="22"/>
              </w:rPr>
              <w:t>+2.2%</w:t>
            </w:r>
          </w:p>
        </w:tc>
        <w:tc>
          <w:tcPr>
            <w:tcW w:type="dxa" w:w="1080"/>
          </w:tcPr>
          <w:p>
            <w:r>
              <w:rPr>
                <w:rFonts w:ascii="Calibri" w:hAnsi="Calibri"/>
                <w:sz w:val="22"/>
              </w:rPr>
              <w:t>N/A (no quarterly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Adjusted EBITDA — FY2026</w:t>
            </w:r>
          </w:p>
        </w:tc>
        <w:tc>
          <w:tcPr>
            <w:tcW w:type="dxa" w:w="1080"/>
          </w:tcPr>
          <w:p>
            <w:r>
              <w:rPr>
                <w:rFonts w:ascii="Calibri" w:hAnsi="Calibri"/>
                <w:sz w:val="22"/>
              </w:rPr>
              <w:t>$5,825.4M</w:t>
            </w:r>
          </w:p>
        </w:tc>
        <w:tc>
          <w:tcPr>
            <w:tcW w:type="dxa" w:w="1080"/>
          </w:tcPr>
          <w:p>
            <w:r>
              <w:rPr>
                <w:rFonts w:ascii="Calibri" w:hAnsi="Calibri"/>
                <w:sz w:val="22"/>
              </w:rPr>
              <w:t>$5,866.9M</w:t>
            </w:r>
          </w:p>
        </w:tc>
        <w:tc>
          <w:tcPr>
            <w:tcW w:type="dxa" w:w="1080"/>
          </w:tcPr>
          <w:p>
            <w:r>
              <w:rPr>
                <w:rFonts w:ascii="Calibri" w:hAnsi="Calibri"/>
                <w:b/>
                <w:color w:val="30A46C"/>
                <w:sz w:val="22"/>
              </w:rPr>
              <w:t>+0.7%</w:t>
            </w:r>
          </w:p>
        </w:tc>
        <w:tc>
          <w:tcPr>
            <w:tcW w:type="dxa" w:w="1080"/>
          </w:tcPr>
          <w:p>
            <w:r>
              <w:rPr>
                <w:rFonts w:ascii="Calibri" w:hAnsi="Calibri"/>
                <w:sz w:val="22"/>
              </w:rPr>
              <w:t>$5,800M midpoint ($5.7–$5.9B)</w:t>
            </w:r>
          </w:p>
        </w:tc>
        <w:tc>
          <w:tcPr>
            <w:tcW w:type="dxa" w:w="1080"/>
          </w:tcPr>
          <w:p>
            <w:r>
              <w:rPr>
                <w:rFonts w:ascii="Calibri" w:hAnsi="Calibri"/>
                <w:sz w:val="22"/>
              </w:rPr>
              <w:t>$5,800M midpoint (unchanged)</w:t>
            </w:r>
          </w:p>
        </w:tc>
        <w:tc>
          <w:tcPr>
            <w:tcW w:type="dxa" w:w="1080"/>
          </w:tcPr>
          <w:p>
            <w:r>
              <w:rPr>
                <w:rFonts w:ascii="Calibri" w:hAnsi="Calibri"/>
                <w:sz w:val="22"/>
              </w:rPr>
              <w:t>Unchanged</w:t>
            </w:r>
          </w:p>
        </w:tc>
        <w:tc>
          <w:tcPr>
            <w:tcW w:type="dxa" w:w="1080"/>
          </w:tcPr>
          <w:p>
            <w:r>
              <w:rPr>
                <w:rFonts w:ascii="Calibri" w:hAnsi="Calibri"/>
                <w:sz w:val="22"/>
              </w:rPr>
              <w:t>+1.2% above midpoint</w:t>
            </w:r>
          </w:p>
        </w:tc>
      </w:tr>
      <w:tr>
        <w:tc>
          <w:tcPr>
            <w:tcW w:type="dxa" w:w="1080"/>
          </w:tcPr>
          <w:p>
            <w:r>
              <w:rPr>
                <w:rFonts w:ascii="Calibri" w:hAnsi="Calibri"/>
                <w:sz w:val="22"/>
              </w:rPr>
              <w:t>Adjusted EBITDA — FY2027</w:t>
            </w:r>
          </w:p>
        </w:tc>
        <w:tc>
          <w:tcPr>
            <w:tcW w:type="dxa" w:w="1080"/>
          </w:tcPr>
          <w:p>
            <w:r>
              <w:rPr>
                <w:rFonts w:ascii="Calibri" w:hAnsi="Calibri"/>
                <w:sz w:val="22"/>
              </w:rPr>
              <w:t>$6,270.6M</w:t>
            </w:r>
          </w:p>
        </w:tc>
        <w:tc>
          <w:tcPr>
            <w:tcW w:type="dxa" w:w="1080"/>
          </w:tcPr>
          <w:p>
            <w:r>
              <w:rPr>
                <w:rFonts w:ascii="Calibri" w:hAnsi="Calibri"/>
                <w:sz w:val="22"/>
              </w:rPr>
              <w:t>$6,415.1M</w:t>
            </w:r>
          </w:p>
        </w:tc>
        <w:tc>
          <w:tcPr>
            <w:tcW w:type="dxa" w:w="1080"/>
          </w:tcPr>
          <w:p>
            <w:r>
              <w:rPr>
                <w:rFonts w:ascii="Calibri" w:hAnsi="Calibri"/>
                <w:b/>
                <w:color w:val="30A46C"/>
                <w:sz w:val="22"/>
              </w:rPr>
              <w:t>+2.3%</w:t>
            </w:r>
          </w:p>
        </w:tc>
        <w:tc>
          <w:tcPr>
            <w:tcW w:type="dxa" w:w="1080"/>
          </w:tcPr>
          <w:p>
            <w:r>
              <w:rPr>
                <w:rFonts w:ascii="Calibri" w:hAnsi="Calibri"/>
                <w:sz w:val="22"/>
              </w:rPr>
              <w:t>No formal FY2027 guidance</w:t>
            </w:r>
          </w:p>
        </w:tc>
        <w:tc>
          <w:tcPr>
            <w:tcW w:type="dxa" w:w="1080"/>
          </w:tcPr>
          <w:p>
            <w:r>
              <w:rPr>
                <w:rFonts w:ascii="Calibri" w:hAnsi="Calibri"/>
                <w:sz w:val="22"/>
              </w:rPr>
              <w:t>No formal FY2027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Permian Gas Volume — Q2 2026 (Mmcf)</w:t>
            </w:r>
          </w:p>
        </w:tc>
        <w:tc>
          <w:tcPr>
            <w:tcW w:type="dxa" w:w="1080"/>
          </w:tcPr>
          <w:p>
            <w:r>
              <w:rPr>
                <w:rFonts w:ascii="Calibri" w:hAnsi="Calibri"/>
                <w:sz w:val="22"/>
              </w:rPr>
              <w:t>6,999,550</w:t>
            </w:r>
          </w:p>
        </w:tc>
        <w:tc>
          <w:tcPr>
            <w:tcW w:type="dxa" w:w="1080"/>
          </w:tcPr>
          <w:p>
            <w:r>
              <w:rPr>
                <w:rFonts w:ascii="Calibri" w:hAnsi="Calibri"/>
                <w:sz w:val="22"/>
              </w:rPr>
              <w:t>7,033,960</w:t>
            </w:r>
          </w:p>
        </w:tc>
        <w:tc>
          <w:tcPr>
            <w:tcW w:type="dxa" w:w="1080"/>
          </w:tcPr>
          <w:p>
            <w:r>
              <w:rPr>
                <w:rFonts w:ascii="Calibri" w:hAnsi="Calibri"/>
                <w:b/>
                <w:color w:val="30A46C"/>
                <w:sz w:val="22"/>
              </w:rPr>
              <w:t>+0.5%</w:t>
            </w:r>
          </w:p>
        </w:tc>
        <w:tc>
          <w:tcPr>
            <w:tcW w:type="dxa" w:w="1080"/>
          </w:tcPr>
          <w:p>
            <w:r>
              <w:rPr>
                <w:rFonts w:ascii="Calibri" w:hAnsi="Calibri"/>
                <w:sz w:val="22"/>
              </w:rPr>
              <w:t>Low double-digit % YoY growth (FY)</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Consistent with guidance</w:t>
            </w:r>
          </w:p>
        </w:tc>
      </w:tr>
      <w:tr>
        <w:tc>
          <w:tcPr>
            <w:tcW w:type="dxa" w:w="1080"/>
          </w:tcPr>
          <w:p>
            <w:r>
              <w:rPr>
                <w:rFonts w:ascii="Calibri" w:hAnsi="Calibri"/>
                <w:sz w:val="22"/>
              </w:rPr>
              <w:t>Permian Gas Volume — FY2026 (Mmcf)</w:t>
            </w:r>
          </w:p>
        </w:tc>
        <w:tc>
          <w:tcPr>
            <w:tcW w:type="dxa" w:w="1080"/>
          </w:tcPr>
          <w:p>
            <w:r>
              <w:rPr>
                <w:rFonts w:ascii="Calibri" w:hAnsi="Calibri"/>
                <w:sz w:val="22"/>
              </w:rPr>
              <w:t>7,122,900</w:t>
            </w:r>
          </w:p>
        </w:tc>
        <w:tc>
          <w:tcPr>
            <w:tcW w:type="dxa" w:w="1080"/>
          </w:tcPr>
          <w:p>
            <w:r>
              <w:rPr>
                <w:rFonts w:ascii="Calibri" w:hAnsi="Calibri"/>
                <w:sz w:val="22"/>
              </w:rPr>
              <w:t>7,136,640</w:t>
            </w:r>
          </w:p>
        </w:tc>
        <w:tc>
          <w:tcPr>
            <w:tcW w:type="dxa" w:w="1080"/>
          </w:tcPr>
          <w:p>
            <w:r>
              <w:rPr>
                <w:rFonts w:ascii="Calibri" w:hAnsi="Calibri"/>
                <w:b/>
                <w:color w:val="30A46C"/>
                <w:sz w:val="22"/>
              </w:rPr>
              <w:t>+0.2%</w:t>
            </w:r>
          </w:p>
        </w:tc>
        <w:tc>
          <w:tcPr>
            <w:tcW w:type="dxa" w:w="1080"/>
          </w:tcPr>
          <w:p>
            <w:r>
              <w:rPr>
                <w:rFonts w:ascii="Calibri" w:hAnsi="Calibri"/>
                <w:sz w:val="22"/>
              </w:rPr>
              <w:t>Low double-digit % YoY growth</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Consistent with guidance</w:t>
            </w:r>
          </w:p>
        </w:tc>
      </w:tr>
    </w:tbl>
    <w:p>
      <w:r>
        <w:rPr>
          <w:rFonts w:ascii="Calibri" w:hAnsi="Calibri"/>
          <w:color w:val="525866"/>
          <w:sz w:val="22"/>
        </w:rPr>
        <w:t>Estimates have moved modestly higher across all key metrics since the Q1 print, with FY2026 EBITDA consensus rising ~$41M (+0.7%) and FY2027 EBITDA rising ~$145M (+2.3%) — the latter reflecting growing confidence in the 2027 FCF inflection thesis as Speedway and LPG export expansion timelines firm up. The gap between consensus and guidance midpoint is narrow and positive, consistent with management’s track record of conservative guidance. Source: Visible Alpha Consensus and Actuals Data.</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TRGP has returned ~+3.0% since the Q1 2026 earnings date (May 7, 2026) vs. the S&amp;P 500’s ~+5.2%, a modest underperformance driven by sector rotation and Waha basis uncertainty rather than fundamental deterioration — the stock has not priced in a beat, leaving upside optionality into the print.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TRGP vs. S&amp;P 500 (SPY) — Indexed to 100 at Q1 2026 Earnings Date (May 7, 2026). Sector ETF (AMJ) data unavailable for this period. Source: Stock Price Data.</w:t>
      </w:r>
    </w:p>
    <w:p>
      <w:r>
        <w:rPr>
          <w:rFonts w:ascii="Calibri" w:hAnsi="Calibri"/>
          <w:color w:val="525866"/>
          <w:sz w:val="22"/>
        </w:rPr>
        <w:t>Since the Q1 2026 earnings date, TRGP has gained approximately +3.0% (from $252.44 to ~$260.11) while the S&amp;P 500 (SPY) has gained ~+5.2% (from $731.58 to ~$769.79). The stock rallied sharply in the two weeks following Q1 earnings (reaching ~$282–$285 in mid-July) as the market digested the guidance raise and record volume delivery, before pulling back ~8% from peak levels in late July. The pullback coincided with broader market volatility and likely some profit-taking ahead of the Q2 print. Two material events are marked: the receivables securitization facility extension (July 1) and the appointment of Thomas Mathiasmeier to the Board (July 17). Neither was a fundamental catalyst. The stock’s underperformance vs. the S&amp;P 500 since earnings reflects sector-level headwinds (energy underperformance) rather than company-specific deterioration, and the current price level does not appear to embed a beat. Source: Stock Price Data.</w:t>
      </w:r>
    </w:p>
    <w:p>
      <w:r>
        <w:br w:type="page"/>
      </w:r>
    </w:p>
    <w:p>
      <w:pPr>
        <w:pStyle w:val="Heading1"/>
        <w:pBdr>
          <w:bottom w:val="single" w:sz="4" w:space="1" w:color="FB9120"/>
        </w:pBdr>
      </w:pPr>
      <w:r>
        <w:rPr>
          <w:rFonts w:ascii="Calibri" w:hAnsi="Calibri"/>
          <w:b/>
          <w:color w:val="3B4259"/>
          <w:sz w:val="40"/>
        </w:rPr>
        <w:t>6. Peer Commentaries — Q2 2026 Read-Through for TRGP</w:t>
      </w:r>
    </w:p>
    <w:p>
      <w:r>
        <w:rPr>
          <w:rFonts w:ascii="Calibri" w:hAnsi="Calibri"/>
          <w:b/>
          <w:color w:val="525866"/>
          <w:sz w:val="22"/>
        </w:rPr>
        <w:t xml:space="preserve">Key Takeaway: </w:t>
      </w:r>
      <w:r>
        <w:rPr>
          <w:rFonts w:ascii="Calibri" w:hAnsi="Calibri"/>
          <w:color w:val="525866"/>
          <w:sz w:val="22"/>
        </w:rPr>
        <w:t xml:space="preserve">Peers who have already reported Q2 2026 (OKE, ET, EPD, MPLX, KMI, WMB) collectively confirm the most important TRGP read-throughs: </w:t>
      </w:r>
      <w:r>
        <w:rPr>
          <w:rFonts w:ascii="Calibri" w:hAnsi="Calibri"/>
          <w:b/>
          <w:color w:val="525866"/>
          <w:sz w:val="22"/>
        </w:rPr>
        <w:t>Waha basis has narrowed faster than expected</w:t>
      </w:r>
      <w:r>
        <w:rPr>
          <w:rFonts w:ascii="Calibri" w:hAnsi="Calibri"/>
          <w:color w:val="525866"/>
          <w:sz w:val="22"/>
        </w:rPr>
        <w:t xml:space="preserve"> as new egress (GCC expansion, Hugh Brinson) filled quickly, which should release pent-up Permian volumes; </w:t>
      </w:r>
      <w:r>
        <w:rPr>
          <w:rFonts w:ascii="Calibri" w:hAnsi="Calibri"/>
          <w:b/>
          <w:color w:val="525866"/>
          <w:sz w:val="22"/>
        </w:rPr>
        <w:t>LPG export demand is robust</w:t>
      </w:r>
      <w:r>
        <w:rPr>
          <w:rFonts w:ascii="Calibri" w:hAnsi="Calibri"/>
          <w:color w:val="525866"/>
          <w:sz w:val="22"/>
        </w:rPr>
        <w:t xml:space="preserve"> with Middle East supply disruptions driving incremental butane demand; and </w:t>
      </w:r>
      <w:r>
        <w:rPr>
          <w:rFonts w:ascii="Calibri" w:hAnsi="Calibri"/>
          <w:b/>
          <w:color w:val="525866"/>
          <w:sz w:val="22"/>
        </w:rPr>
        <w:t>Permian processing capacity is running near full utilization</w:t>
      </w:r>
      <w:r>
        <w:rPr>
          <w:rFonts w:ascii="Calibri" w:hAnsi="Calibri"/>
          <w:color w:val="525866"/>
          <w:sz w:val="22"/>
        </w:rPr>
        <w:t xml:space="preserve"> across the basin, validating TRGP’s volume growth thesis.</w:t>
      </w:r>
    </w:p>
    <w:p>
      <w:pPr>
        <w:pStyle w:val="Heading2"/>
      </w:pPr>
      <w:r>
        <w:rPr>
          <w:rFonts w:ascii="Calibri" w:hAnsi="Calibri"/>
          <w:b/>
          <w:color w:val="3B4259"/>
          <w:sz w:val="28"/>
        </w:rPr>
        <w:t>Waha Basis &amp; Permian Gas Egress</w:t>
      </w:r>
    </w:p>
    <w:p>
      <w:pPr>
        <w:pStyle w:val="ListBullet"/>
        <w:ind w:left="360" w:hanging="360"/>
      </w:pPr>
      <w:r>
        <w:rPr>
          <w:rFonts w:ascii="Calibri" w:hAnsi="Calibri"/>
          <w:b/>
          <w:color w:val="525866"/>
          <w:sz w:val="22"/>
        </w:rPr>
        <w:t>Energy Transfer (ET) — Q2 2026 (reported Aug 4):</w:t>
      </w:r>
      <w:r>
        <w:rPr>
          <w:rFonts w:ascii="Calibri" w:hAnsi="Calibri"/>
          <w:color w:val="525866"/>
          <w:sz w:val="22"/>
        </w:rPr>
        <w:t xml:space="preserve"> Hugh Brinson pipeline entered commercial service and is expected to reach full Phase 1 capacity of 1.5 Bcf/d by September 1, 2026. ET noted the Waha basis narrowed “quicker than anticipated,” attributing it to new pipeline capacity “unleashing” pent-up shut-in gas. ET estimates ~2 Bcf/d of potential flush production was either choked back or from completed-but-not-turned-in-line wells. </w:t>
      </w:r>
      <w:r>
        <w:rPr>
          <w:rFonts w:ascii="Calibri" w:hAnsi="Calibri"/>
          <w:b/>
          <w:color w:val="525866"/>
          <w:sz w:val="22"/>
        </w:rPr>
        <w:t xml:space="preserve">Read-through: </w:t>
      </w:r>
      <w:r>
        <w:rPr>
          <w:rFonts w:ascii="Calibri" w:hAnsi="Calibri"/>
          <w:color w:val="525866"/>
          <w:sz w:val="22"/>
        </w:rPr>
        <w:t>Faster-than-expected Waha normalization is a double-edged sword for TRGP — it should drive a material step-up in Permian inlet volumes (positive for volume KPIs) but may compress the marketing/optimization spread income that drove the Q1 guidance raise. Management guided conservatively on back-half marketing, so the net impact may be volume-positive and margin-neutral.</w:t>
      </w:r>
    </w:p>
    <w:p>
      <w:pPr>
        <w:pStyle w:val="ListBullet"/>
        <w:ind w:left="360" w:hanging="360"/>
      </w:pPr>
      <w:r>
        <w:rPr>
          <w:rFonts w:ascii="Calibri" w:hAnsi="Calibri"/>
          <w:b/>
          <w:color w:val="525866"/>
          <w:sz w:val="22"/>
        </w:rPr>
        <w:t>EPD — Q2 2026 (reported Jul 29–30):</w:t>
      </w:r>
      <w:r>
        <w:rPr>
          <w:rFonts w:ascii="Calibri" w:hAnsi="Calibri"/>
          <w:color w:val="525866"/>
          <w:sz w:val="22"/>
        </w:rPr>
        <w:t xml:space="preserve"> Confirmed Waha prices have been “strong” as new pipelines came online “a little bit faster than the market expected.” EPD noted ~2 Bcf/d of potential flush production from choked-back or completed-but-not-turned-in-line wells, and expects Waha to “tighten again before 2027” as shut-in gas returns and backloaded production comes online. </w:t>
      </w:r>
      <w:r>
        <w:rPr>
          <w:rFonts w:ascii="Calibri" w:hAnsi="Calibri"/>
          <w:b/>
          <w:color w:val="525866"/>
          <w:sz w:val="22"/>
        </w:rPr>
        <w:t xml:space="preserve">Read-through: </w:t>
      </w:r>
      <w:r>
        <w:rPr>
          <w:rFonts w:ascii="Calibri" w:hAnsi="Calibri"/>
          <w:color w:val="525866"/>
          <w:sz w:val="22"/>
        </w:rPr>
        <w:t>Supports TRGP’s thesis that volume growth will accelerate as egress improves; the “tighten again” comment suggests Waha volatility is not over, which could sustain some marketing/optimization opportunity into H2 2026.</w:t>
      </w:r>
    </w:p>
    <w:p>
      <w:pPr>
        <w:pStyle w:val="ListBullet"/>
        <w:ind w:left="360" w:hanging="360"/>
      </w:pPr>
      <w:r>
        <w:rPr>
          <w:rFonts w:ascii="Calibri" w:hAnsi="Calibri"/>
          <w:b/>
          <w:color w:val="525866"/>
          <w:sz w:val="22"/>
        </w:rPr>
        <w:t>Kinder Morgan (KMI) — Q2 2026 (reported Jul 22):</w:t>
      </w:r>
      <w:r>
        <w:rPr>
          <w:rFonts w:ascii="Calibri" w:hAnsi="Calibri"/>
          <w:color w:val="525866"/>
          <w:sz w:val="22"/>
        </w:rPr>
        <w:t xml:space="preserve"> Confirmed the GCC expansion filled up “pretty much immediately” upon startup, consistent with all prior Permian egress projects. KMI noted that “just a little bit more egress out of the Permian Basin” caused spreads to “really come in.” KMI is developing the Permian Link project (targeted 2030 in-service) for additional egress. </w:t>
      </w:r>
      <w:r>
        <w:rPr>
          <w:rFonts w:ascii="Calibri" w:hAnsi="Calibri"/>
          <w:b/>
          <w:color w:val="525866"/>
          <w:sz w:val="22"/>
        </w:rPr>
        <w:t xml:space="preserve">Read-through: </w:t>
      </w:r>
      <w:r>
        <w:rPr>
          <w:rFonts w:ascii="Calibri" w:hAnsi="Calibri"/>
          <w:color w:val="525866"/>
          <w:sz w:val="22"/>
        </w:rPr>
        <w:t>GCC expansion filling quickly is directly positive for TRGP — it means Permian producers can flow more gas, reducing shut-ins on TRGP’s system. The rapid fill also validates the long-term Permian egress investment thesis (Blackcomb, Traverse) that underpins TRGP’s 2027+ volume growth.</w:t>
      </w:r>
    </w:p>
    <w:p>
      <w:pPr>
        <w:pStyle w:val="ListBullet"/>
        <w:ind w:left="360" w:hanging="360"/>
      </w:pPr>
      <w:r>
        <w:rPr>
          <w:rFonts w:ascii="Calibri" w:hAnsi="Calibri"/>
          <w:b/>
          <w:color w:val="525866"/>
          <w:sz w:val="22"/>
        </w:rPr>
        <w:t>MPLX — Q2 2026 (reported Aug 4):</w:t>
      </w:r>
      <w:r>
        <w:rPr>
          <w:rFonts w:ascii="Calibri" w:hAnsi="Calibri"/>
          <w:color w:val="525866"/>
          <w:sz w:val="22"/>
        </w:rPr>
        <w:t xml:space="preserve"> Confirmed Permian gas volumes reached nearly 25 Bcf/d in June–July, growing over 1 Bcf/d, and forecast to reach 35 Bcf/d by 2030. MPLX stated incremental takeaway capacity is still needed and that Blackcomb began commissioning in July, expected to achieve full commercial service in Q4 2026. </w:t>
      </w:r>
      <w:r>
        <w:rPr>
          <w:rFonts w:ascii="Calibri" w:hAnsi="Calibri"/>
          <w:b/>
          <w:color w:val="525866"/>
          <w:sz w:val="22"/>
        </w:rPr>
        <w:t xml:space="preserve">Read-through: </w:t>
      </w:r>
      <w:r>
        <w:rPr>
          <w:rFonts w:ascii="Calibri" w:hAnsi="Calibri"/>
          <w:color w:val="525866"/>
          <w:sz w:val="22"/>
        </w:rPr>
        <w:t>Blackcomb commissioning on schedule is a direct positive for TRGP, which has been guiding to a “material step-up in volumes” once Blackcomb comes online. MPLX’s confirmation of strong Permian volume growth validates TRGP’s low-double-digit growth target.</w:t>
      </w:r>
    </w:p>
    <w:p>
      <w:pPr>
        <w:pStyle w:val="Heading2"/>
      </w:pPr>
      <w:r>
        <w:rPr>
          <w:rFonts w:ascii="Calibri" w:hAnsi="Calibri"/>
          <w:b/>
          <w:color w:val="3B4259"/>
          <w:sz w:val="28"/>
        </w:rPr>
        <w:t>NGL Fractionation &amp; LPG Exports</w:t>
      </w:r>
    </w:p>
    <w:p>
      <w:pPr>
        <w:pStyle w:val="ListBullet"/>
        <w:ind w:left="360" w:hanging="360"/>
      </w:pPr>
      <w:r>
        <w:rPr>
          <w:rFonts w:ascii="Calibri" w:hAnsi="Calibri"/>
          <w:b/>
          <w:color w:val="525866"/>
          <w:sz w:val="22"/>
        </w:rPr>
        <w:t>OKE (ONEOK) — Q2 2026 (reported Aug 4):</w:t>
      </w:r>
      <w:r>
        <w:rPr>
          <w:rFonts w:ascii="Calibri" w:hAnsi="Calibri"/>
          <w:color w:val="525866"/>
          <w:sz w:val="22"/>
        </w:rPr>
        <w:t xml:space="preserve"> Reported record NGL throughput volumes in Q2, with Gulf Coast Permian Region NGL volumes up 15% YoY. OKE noted a “strong and substantial increase in NGL volumes over the last one to two months” tied to Waha/Katy spread dynamics as shut-in gas was released. OKE reached its 80% contracting threshold for its 200,000 bpd LPG export capacity under construction, with customer interest extending into the next decade. </w:t>
      </w:r>
      <w:r>
        <w:rPr>
          <w:rFonts w:ascii="Calibri" w:hAnsi="Calibri"/>
          <w:b/>
          <w:color w:val="525866"/>
          <w:sz w:val="22"/>
        </w:rPr>
        <w:t xml:space="preserve">Read-through: </w:t>
      </w:r>
      <w:r>
        <w:rPr>
          <w:rFonts w:ascii="Calibri" w:hAnsi="Calibri"/>
          <w:color w:val="525866"/>
          <w:sz w:val="22"/>
        </w:rPr>
        <w:t>Record NGL throughput and strong LPG contracting demand directly validates TRGP’s fractionation and export volume outlook. The surge in NGL volumes as Waha normalized is a leading indicator for TRGP’s Q2 fractionation volumes.</w:t>
      </w:r>
    </w:p>
    <w:p>
      <w:pPr>
        <w:pStyle w:val="ListBullet"/>
        <w:ind w:left="360" w:hanging="360"/>
      </w:pPr>
      <w:r>
        <w:rPr>
          <w:rFonts w:ascii="Calibri" w:hAnsi="Calibri"/>
          <w:b/>
          <w:color w:val="525866"/>
          <w:sz w:val="22"/>
        </w:rPr>
        <w:t>MPLX — Q2 2026 (reported Aug 4):</w:t>
      </w:r>
      <w:r>
        <w:rPr>
          <w:rFonts w:ascii="Calibri" w:hAnsi="Calibri"/>
          <w:color w:val="525866"/>
          <w:sz w:val="22"/>
        </w:rPr>
        <w:t xml:space="preserve"> Total fractionation volumes up 8% YoY. MPLX is accelerating its Gulf Coast fractionation project (pulling forward 2027 capex into H2 2026), with the first 150,000 bpd fractionator and 400,000 bpd JV LPG export terminal expected in service in 2028. Sour gas volumes in the Permian exceeded 150 MMcf/d for the second consecutive quarter. </w:t>
      </w:r>
      <w:r>
        <w:rPr>
          <w:rFonts w:ascii="Calibri" w:hAnsi="Calibri"/>
          <w:b/>
          <w:color w:val="525866"/>
          <w:sz w:val="22"/>
        </w:rPr>
        <w:t xml:space="preserve">Read-through: </w:t>
      </w:r>
      <w:r>
        <w:rPr>
          <w:rFonts w:ascii="Calibri" w:hAnsi="Calibri"/>
          <w:color w:val="525866"/>
          <w:sz w:val="22"/>
        </w:rPr>
        <w:t>MPLX’s sour gas volume growth in the Delaware Basin is a direct competitive read-through for TRGP, which has been highlighting its sour gas first-mover advantage. Both companies are seeing strong sour gas demand, validating TRGP’s Delaware Basin investment thesis.</w:t>
      </w:r>
    </w:p>
    <w:p>
      <w:pPr>
        <w:pStyle w:val="ListBullet"/>
        <w:ind w:left="360" w:hanging="360"/>
      </w:pPr>
      <w:r>
        <w:rPr>
          <w:rFonts w:ascii="Calibri" w:hAnsi="Calibri"/>
          <w:b/>
          <w:color w:val="525866"/>
          <w:sz w:val="22"/>
        </w:rPr>
        <w:t>EPD — Q2 2026 (reported Jul 29–30):</w:t>
      </w:r>
      <w:r>
        <w:rPr>
          <w:rFonts w:ascii="Calibri" w:hAnsi="Calibri"/>
          <w:color w:val="525866"/>
          <w:sz w:val="22"/>
        </w:rPr>
        <w:t xml:space="preserve"> Neches River NGL marine terminal began commissioning ahead of schedule. EPD noted “strong global demand for U.S. hydrocarbons” with increased interest from countries previously dependent on the Middle East. EPD’s LPG export capacity is ~90% contracted. EPD cautioned that a “fair amount of export capacity” coming online over the next 12–18 months could lead to “less volatility in terminal fees and overall lower rates.” </w:t>
      </w:r>
      <w:r>
        <w:rPr>
          <w:rFonts w:ascii="Calibri" w:hAnsi="Calibri"/>
          <w:b/>
          <w:color w:val="525866"/>
          <w:sz w:val="22"/>
        </w:rPr>
        <w:t xml:space="preserve">Read-through: </w:t>
      </w:r>
      <w:r>
        <w:rPr>
          <w:rFonts w:ascii="Calibri" w:hAnsi="Calibri"/>
          <w:color w:val="525866"/>
          <w:sz w:val="22"/>
        </w:rPr>
        <w:t>The caution on LPG terminal fee compression is a mild negative read-through for TRGP’s LPG export margin outlook beyond 2026, though TRGP’s capacity is largely contracted and the near-term demand environment (Middle East disruptions, butane demand) remains supportive for Q2.</w:t>
      </w:r>
    </w:p>
    <w:p>
      <w:pPr>
        <w:pStyle w:val="ListBullet"/>
        <w:ind w:left="360" w:hanging="360"/>
      </w:pPr>
      <w:r>
        <w:rPr>
          <w:rFonts w:ascii="Calibri" w:hAnsi="Calibri"/>
          <w:b/>
          <w:color w:val="525866"/>
          <w:sz w:val="22"/>
        </w:rPr>
        <w:t>Energy Transfer (ET) — Q2 2026 (reported Aug 4):</w:t>
      </w:r>
      <w:r>
        <w:rPr>
          <w:rFonts w:ascii="Calibri" w:hAnsi="Calibri"/>
          <w:color w:val="525866"/>
          <w:sz w:val="22"/>
        </w:rPr>
        <w:t xml:space="preserve"> Achieved record exports from both Nederland and Marcus Hook terminals in Q2, partly driven by new chilling capacity. Announced a ~240,000 bpd ethane export expansion at Nederland (in service 2028–2029). Fractionators at Mont Belvieu remained fully utilized in Q2. </w:t>
      </w:r>
      <w:r>
        <w:rPr>
          <w:rFonts w:ascii="Calibri" w:hAnsi="Calibri"/>
          <w:b/>
          <w:color w:val="525866"/>
          <w:sz w:val="22"/>
        </w:rPr>
        <w:t xml:space="preserve">Read-through: </w:t>
      </w:r>
      <w:r>
        <w:rPr>
          <w:rFonts w:ascii="Calibri" w:hAnsi="Calibri"/>
          <w:color w:val="525866"/>
          <w:sz w:val="22"/>
        </w:rPr>
        <w:t>Record export volumes and full fractionator utilization across the Mont Belvieu complex are positive read-throughs for TRGP’s fractionation and export volumes. The competitive dynamic in ethane exports is worth monitoring but does not directly impact TRGP’s LPG (propane/butane) business.</w:t>
      </w:r>
    </w:p>
    <w:p>
      <w:pPr>
        <w:pStyle w:val="Heading2"/>
      </w:pPr>
      <w:r>
        <w:rPr>
          <w:rFonts w:ascii="Calibri" w:hAnsi="Calibri"/>
          <w:b/>
          <w:color w:val="3B4259"/>
          <w:sz w:val="28"/>
        </w:rPr>
        <w:t>Permian Producer Activity &amp; Processing Capacity</w:t>
      </w:r>
    </w:p>
    <w:p>
      <w:pPr>
        <w:pStyle w:val="ListBullet"/>
        <w:ind w:left="360" w:hanging="360"/>
      </w:pPr>
      <w:r>
        <w:rPr>
          <w:rFonts w:ascii="Calibri" w:hAnsi="Calibri"/>
          <w:b/>
          <w:color w:val="525866"/>
          <w:sz w:val="22"/>
        </w:rPr>
        <w:t>OKE (ONEOK) — Q2 2026 (reported Aug 4):</w:t>
      </w:r>
      <w:r>
        <w:rPr>
          <w:rFonts w:ascii="Calibri" w:hAnsi="Calibri"/>
          <w:color w:val="525866"/>
          <w:sz w:val="22"/>
        </w:rPr>
        <w:t xml:space="preserve"> Permian processing capacity increasing to nearly 2.4 Bcf/d with new plant completions. Midland crude gathering volumes up 10% QoQ with 30+ rigs on acreage. The 110 MMcf/d Delaware plant coming online in Q3 is expected to fill quickly. </w:t>
      </w:r>
      <w:r>
        <w:rPr>
          <w:rFonts w:ascii="Calibri" w:hAnsi="Calibri"/>
          <w:b/>
          <w:color w:val="525866"/>
          <w:sz w:val="22"/>
        </w:rPr>
        <w:t xml:space="preserve">Read-through: </w:t>
      </w:r>
      <w:r>
        <w:rPr>
          <w:rFonts w:ascii="Calibri" w:hAnsi="Calibri"/>
          <w:color w:val="525866"/>
          <w:sz w:val="22"/>
        </w:rPr>
        <w:t>Strong Permian producer activity and rapid plant fill rates across the basin validate TRGP’s confidence in its own plant construction pipeline (six plants under construction, two newly announced).</w:t>
      </w:r>
    </w:p>
    <w:p>
      <w:pPr>
        <w:pStyle w:val="ListBullet"/>
        <w:ind w:left="360" w:hanging="360"/>
      </w:pPr>
      <w:r>
        <w:rPr>
          <w:rFonts w:ascii="Calibri" w:hAnsi="Calibri"/>
          <w:b/>
          <w:color w:val="525866"/>
          <w:sz w:val="22"/>
        </w:rPr>
        <w:t>EPD — Q2 2026 (reported Jul 29–30):</w:t>
      </w:r>
      <w:r>
        <w:rPr>
          <w:rFonts w:ascii="Calibri" w:hAnsi="Calibri"/>
          <w:color w:val="525866"/>
          <w:sz w:val="22"/>
        </w:rPr>
        <w:t xml:space="preserve"> Permian inlet volumes up 14% YoY to 1.1 Bcf/d. EPD is building five Permian plants simultaneously (vs. historical cadence of ~2 at a time), with each new plant extracting ~45,000 bpd of liquids. Approved construction of Plant 11 (Midland, Q1 2029) and Plant 13 (Delaware, Q3 2028). </w:t>
      </w:r>
      <w:r>
        <w:rPr>
          <w:rFonts w:ascii="Calibri" w:hAnsi="Calibri"/>
          <w:b/>
          <w:color w:val="525866"/>
          <w:sz w:val="22"/>
        </w:rPr>
        <w:t xml:space="preserve">Read-through: </w:t>
      </w:r>
      <w:r>
        <w:rPr>
          <w:rFonts w:ascii="Calibri" w:hAnsi="Calibri"/>
          <w:color w:val="525866"/>
          <w:sz w:val="22"/>
        </w:rPr>
        <w:t>EPD’s 14% Permian inlet volume growth is directly consistent with TRGP’s low-double-digit growth target. The industry-wide acceleration in plant construction confirms the structural demand for Permian processing capacity that underpins TRGP’s project backlog.</w:t>
      </w:r>
    </w:p>
    <w:p>
      <w:pPr>
        <w:pStyle w:val="ListBullet"/>
        <w:ind w:left="360" w:hanging="360"/>
      </w:pPr>
      <w:r>
        <w:rPr>
          <w:rFonts w:ascii="Calibri" w:hAnsi="Calibri"/>
          <w:b/>
          <w:color w:val="525866"/>
          <w:sz w:val="22"/>
        </w:rPr>
        <w:t>MPLX — Q2 2026 (reported Aug 4):</w:t>
      </w:r>
      <w:r>
        <w:rPr>
          <w:rFonts w:ascii="Calibri" w:hAnsi="Calibri"/>
          <w:color w:val="525866"/>
          <w:sz w:val="22"/>
        </w:rPr>
        <w:t xml:space="preserve"> Delaware Basin processing system exited Q2 at 86% utilization after placing Secretariat 1 plant into service in April. Sour gas treating system expanding to over 400 MMcf/d, on track for Q4 2026 service. Gathering volumes up 15% YoY. </w:t>
      </w:r>
      <w:r>
        <w:rPr>
          <w:rFonts w:ascii="Calibri" w:hAnsi="Calibri"/>
          <w:b/>
          <w:color w:val="525866"/>
          <w:sz w:val="22"/>
        </w:rPr>
        <w:t xml:space="preserve">Read-through: </w:t>
      </w:r>
      <w:r>
        <w:rPr>
          <w:rFonts w:ascii="Calibri" w:hAnsi="Calibri"/>
          <w:color w:val="525866"/>
          <w:sz w:val="22"/>
        </w:rPr>
        <w:t>86% utilization of the Delaware Basin processing system and rapid sour gas expansion confirm the basin’s strong producer activity. TRGP’s own Delaware Basin plants (Copperhead, Yeti 1 &amp; 2, East Driver) are operating in the same high-demand environment.</w:t>
      </w:r>
    </w:p>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confirmation from multiple peers that the GCC expansion and Hugh Brinson pipeline filled quickly, normalizing Waha basis faster than expected — this is the single biggest swing factor for TRGP’s Q2 volume and margin outcome.</w:t>
      </w:r>
    </w:p>
    <w:p>
      <w:pPr>
        <w:pStyle w:val="ListBullet"/>
        <w:ind w:left="360" w:hanging="360"/>
      </w:pPr>
      <w:r>
        <w:rPr>
          <w:rFonts w:ascii="Calibri" w:hAnsi="Calibri"/>
          <w:b/>
          <w:color w:val="525866"/>
          <w:sz w:val="22"/>
        </w:rPr>
        <w:t>May 7, 2026 — Q1 2026 Earnings: Record EBITDA, Guidance Raised $300M.</w:t>
      </w:r>
      <w:r>
        <w:rPr>
          <w:rFonts w:ascii="Calibri" w:hAnsi="Calibri"/>
          <w:color w:val="525866"/>
          <w:sz w:val="22"/>
        </w:rPr>
        <w:t xml:space="preserve"> TRGP reported record Q1 Adjusted EBITDA of $1.40B, beating consensus by ~3.8%. Full-year 2026 EBITDA guidance raised to $5.7–$5.9B (midpoint +$300M vs. prior). Two new Delaware Basin plants announced (Roadrunner 3, Copperhead 2, both Q1 2028). Train 11 fractionator came online early in Q2. Delaware Express NGL pipeline entered startup. Management guided record Q2 LPG loadings. </w:t>
      </w:r>
      <w:r>
        <w:rPr>
          <w:rFonts w:ascii="Calibri" w:hAnsi="Calibri"/>
          <w:b/>
          <w:color w:val="525866"/>
          <w:sz w:val="22"/>
        </w:rPr>
        <w:t>Implication:</w:t>
      </w:r>
      <w:r>
        <w:rPr>
          <w:rFonts w:ascii="Calibri" w:hAnsi="Calibri"/>
          <w:color w:val="525866"/>
          <w:sz w:val="22"/>
        </w:rPr>
        <w:t xml:space="preserve"> Sets a high but achievable bar for Q2; management’s conservative back-half marketing guidance creates potential for further upside.</w:t>
      </w:r>
    </w:p>
    <w:p>
      <w:pPr>
        <w:pStyle w:val="ListBullet"/>
        <w:ind w:left="360" w:hanging="360"/>
      </w:pPr>
      <w:r>
        <w:rPr>
          <w:rFonts w:ascii="Calibri" w:hAnsi="Calibri"/>
          <w:b/>
          <w:color w:val="525866"/>
          <w:sz w:val="22"/>
        </w:rPr>
        <w:t>Late May–June 2026 — Waha Basis Normalization (Peer Read-Through).</w:t>
      </w:r>
      <w:r>
        <w:rPr>
          <w:rFonts w:ascii="Calibri" w:hAnsi="Calibri"/>
          <w:color w:val="525866"/>
          <w:sz w:val="22"/>
        </w:rPr>
        <w:t xml:space="preserve"> GCC expansion and Hugh Brinson pipeline entered commercial service, causing Waha basis to narrow “quicker than anticipated” (per ET Q2 call). KMI confirmed GCC filled “pretty much immediately.” EPD noted Waha prices have been “strong” as new pipes came online faster than expected. </w:t>
      </w:r>
      <w:r>
        <w:rPr>
          <w:rFonts w:ascii="Calibri" w:hAnsi="Calibri"/>
          <w:b/>
          <w:color w:val="525866"/>
          <w:sz w:val="22"/>
        </w:rPr>
        <w:t>Implication:</w:t>
      </w:r>
      <w:r>
        <w:rPr>
          <w:rFonts w:ascii="Calibri" w:hAnsi="Calibri"/>
          <w:color w:val="525866"/>
          <w:sz w:val="22"/>
        </w:rPr>
        <w:t xml:space="preserve"> Positive for Permian inlet volumes (shut-in gas returning to flow) but may compress marketing/optimization margins that drove the Q1 guidance raise. Net effect likely volume-positive, margin-neutral to slightly negative on optimization.</w:t>
      </w:r>
    </w:p>
    <w:p>
      <w:pPr>
        <w:pStyle w:val="ListBullet"/>
        <w:ind w:left="360" w:hanging="360"/>
      </w:pPr>
      <w:r>
        <w:rPr>
          <w:rFonts w:ascii="Calibri" w:hAnsi="Calibri"/>
          <w:b/>
          <w:color w:val="525866"/>
          <w:sz w:val="22"/>
        </w:rPr>
        <w:t>July 1, 2026 — Receivables Securitization Facility Extended.</w:t>
      </w:r>
      <w:r>
        <w:rPr>
          <w:rFonts w:ascii="Calibri" w:hAnsi="Calibri"/>
          <w:color w:val="525866"/>
          <w:sz w:val="22"/>
        </w:rPr>
        <w:t xml:space="preserve"> TRGP extended its accounts receivable securitization facility to July 30, 2027 and added a $200M uncommitted line (total ~$451M outstanding). </w:t>
      </w:r>
      <w:r>
        <w:rPr>
          <w:rFonts w:ascii="Calibri" w:hAnsi="Calibri"/>
          <w:b/>
          <w:color w:val="525866"/>
          <w:sz w:val="22"/>
        </w:rPr>
        <w:t>Implication:</w:t>
      </w:r>
      <w:r>
        <w:rPr>
          <w:rFonts w:ascii="Calibri" w:hAnsi="Calibri"/>
          <w:color w:val="525866"/>
          <w:sz w:val="22"/>
        </w:rPr>
        <w:t xml:space="preserve"> Routine liquidity management; no fundamental impact. Confirms TRGP’s proactive balance sheet management.</w:t>
      </w:r>
    </w:p>
    <w:p>
      <w:pPr>
        <w:pStyle w:val="ListBullet"/>
        <w:ind w:left="360" w:hanging="360"/>
      </w:pPr>
      <w:r>
        <w:rPr>
          <w:rFonts w:ascii="Calibri" w:hAnsi="Calibri"/>
          <w:b/>
          <w:color w:val="525866"/>
          <w:sz w:val="22"/>
        </w:rPr>
        <w:t>July 16, 2026 — Q2 2026 Dividend Declared: $1.25/Share.</w:t>
      </w:r>
      <w:r>
        <w:rPr>
          <w:rFonts w:ascii="Calibri" w:hAnsi="Calibri"/>
          <w:color w:val="525866"/>
          <w:sz w:val="22"/>
        </w:rPr>
        <w:t xml:space="preserve"> Board declared Q2 2026 quarterly cash dividend of $1.25/share ($5.00 annualized), payable August 14, 2026 to holders of record July 31, 2026. </w:t>
      </w:r>
      <w:r>
        <w:rPr>
          <w:rFonts w:ascii="Calibri" w:hAnsi="Calibri"/>
          <w:b/>
          <w:color w:val="525866"/>
          <w:sz w:val="22"/>
        </w:rPr>
        <w:t>Implication:</w:t>
      </w:r>
      <w:r>
        <w:rPr>
          <w:rFonts w:ascii="Calibri" w:hAnsi="Calibri"/>
          <w:color w:val="525866"/>
          <w:sz w:val="22"/>
        </w:rPr>
        <w:t xml:space="preserve"> Consistent with Q1 level; confirms the 25% dividend increase from 2025 is being maintained. No incremental signal.</w:t>
      </w:r>
    </w:p>
    <w:p>
      <w:pPr>
        <w:pStyle w:val="ListBullet"/>
        <w:ind w:left="360" w:hanging="360"/>
      </w:pPr>
      <w:r>
        <w:rPr>
          <w:rFonts w:ascii="Calibri" w:hAnsi="Calibri"/>
          <w:b/>
          <w:color w:val="525866"/>
          <w:sz w:val="22"/>
        </w:rPr>
        <w:t>July 17, 2026 — Thomas Mathiasmeier Appointed to Board.</w:t>
      </w:r>
      <w:r>
        <w:rPr>
          <w:rFonts w:ascii="Calibri" w:hAnsi="Calibri"/>
          <w:color w:val="525866"/>
          <w:sz w:val="22"/>
        </w:rPr>
        <w:t xml:space="preserve"> Former ConocoPhillips President of Global Gas, Power &amp; Emerging Markets appointed as Class II Director and Audit Committee member. Brings LNG, natural gas marketing, and midstream expertise. </w:t>
      </w:r>
      <w:r>
        <w:rPr>
          <w:rFonts w:ascii="Calibri" w:hAnsi="Calibri"/>
          <w:b/>
          <w:color w:val="525866"/>
          <w:sz w:val="22"/>
        </w:rPr>
        <w:t>Implication:</w:t>
      </w:r>
      <w:r>
        <w:rPr>
          <w:rFonts w:ascii="Calibri" w:hAnsi="Calibri"/>
          <w:color w:val="525866"/>
          <w:sz w:val="22"/>
        </w:rPr>
        <w:t xml:space="preserve"> Strategically relevant given TRGP’s LPG export expansion and global gas market positioning; adds credibility to the LNG/export strategy.</w:t>
      </w:r>
    </w:p>
    <w:p>
      <w:pPr>
        <w:pStyle w:val="ListBullet"/>
        <w:ind w:left="360" w:hanging="360"/>
      </w:pPr>
      <w:r>
        <w:rPr>
          <w:rFonts w:ascii="Calibri" w:hAnsi="Calibri"/>
          <w:b/>
          <w:color w:val="525866"/>
          <w:sz w:val="22"/>
        </w:rPr>
        <w:t>July–August 2026 — Blackcomb Pipeline Commissioning Confirmed (Peer Read-Through).</w:t>
      </w:r>
      <w:r>
        <w:rPr>
          <w:rFonts w:ascii="Calibri" w:hAnsi="Calibri"/>
          <w:color w:val="525866"/>
          <w:sz w:val="22"/>
        </w:rPr>
        <w:t xml:space="preserve"> MPLX confirmed Blackcomb began commissioning activities in July and is expected to achieve full commercial service in Q4 2026. This is the key Permian egress project TRGP has been citing as the catalyst for a “material step-up in volumes.” </w:t>
      </w:r>
      <w:r>
        <w:rPr>
          <w:rFonts w:ascii="Calibri" w:hAnsi="Calibri"/>
          <w:b/>
          <w:color w:val="525866"/>
          <w:sz w:val="22"/>
        </w:rPr>
        <w:t>Implication:</w:t>
      </w:r>
      <w:r>
        <w:rPr>
          <w:rFonts w:ascii="Calibri" w:hAnsi="Calibri"/>
          <w:color w:val="525866"/>
          <w:sz w:val="22"/>
        </w:rPr>
        <w:t xml:space="preserve"> Directly positive for TRGP’s H2 2026 and 2027 volume outlook; on-schedule commissioning removes a key execution risk.</w:t>
      </w:r>
    </w:p>
    <w:p>
      <w:pPr>
        <w:pStyle w:val="ListBullet"/>
        <w:ind w:left="360" w:hanging="360"/>
      </w:pPr>
      <w:r>
        <w:rPr>
          <w:rFonts w:ascii="Calibri" w:hAnsi="Calibri"/>
          <w:b/>
          <w:color w:val="525866"/>
          <w:sz w:val="22"/>
        </w:rPr>
        <w:t>Q2 2026 — LPG Export Demand Surge (Middle East Disruptions).</w:t>
      </w:r>
      <w:r>
        <w:rPr>
          <w:rFonts w:ascii="Calibri" w:hAnsi="Calibri"/>
          <w:color w:val="525866"/>
          <w:sz w:val="22"/>
        </w:rPr>
        <w:t xml:space="preserve"> Multiple peers (TRGP Q1 call, EPD, OKE) confirmed strong incremental butane demand driven by Middle East supply disruptions. TRGP secured additional contracts and guided record Q2 loadings. EPD noted increased interest from countries diversifying away from Middle East supply. </w:t>
      </w:r>
      <w:r>
        <w:rPr>
          <w:rFonts w:ascii="Calibri" w:hAnsi="Calibri"/>
          <w:b/>
          <w:color w:val="525866"/>
          <w:sz w:val="22"/>
        </w:rPr>
        <w:t>Implication:</w:t>
      </w:r>
      <w:r>
        <w:rPr>
          <w:rFonts w:ascii="Calibri" w:hAnsi="Calibri"/>
          <w:color w:val="525866"/>
          <w:sz w:val="22"/>
        </w:rPr>
        <w:t xml:space="preserve"> Supports TRGP’s LPG export volume beat in Q2; also validates the long-term contracting environment for the 19+ MMbbl/month export expansion coming online in Q3 2027.</w:t>
      </w:r>
    </w:p>
    <w:p>
      <w:pPr>
        <w:pStyle w:val="ListBullet"/>
        <w:ind w:left="360" w:hanging="360"/>
      </w:pPr>
      <w:r>
        <w:rPr>
          <w:rFonts w:ascii="Calibri" w:hAnsi="Calibri"/>
          <w:b/>
          <w:color w:val="525866"/>
          <w:sz w:val="22"/>
        </w:rPr>
        <w:t>Q2 2026 — No Analyst Rating Changes Found.</w:t>
      </w:r>
      <w:r>
        <w:rPr>
          <w:rFonts w:ascii="Calibri" w:hAnsi="Calibri"/>
          <w:color w:val="525866"/>
          <w:sz w:val="22"/>
        </w:rPr>
        <w:t xml:space="preserve"> No upgrades or downgrades were identified in the research window (May 7 – August 6, 2026). </w:t>
      </w:r>
      <w:r>
        <w:rPr>
          <w:rFonts w:ascii="Calibri" w:hAnsi="Calibri"/>
          <w:b/>
          <w:color w:val="525866"/>
          <w:sz w:val="22"/>
        </w:rPr>
        <w:t>Implication:</w:t>
      </w:r>
      <w:r>
        <w:rPr>
          <w:rFonts w:ascii="Calibri" w:hAnsi="Calibri"/>
          <w:color w:val="525866"/>
          <w:sz w:val="22"/>
        </w:rPr>
        <w:t xml:space="preserve"> Neutral; no incremental sell-side catalyst from rating changes heading into the print.</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