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rgp-earnings-predictions--2026-08-06"/>
    <w:p>
      <w:pPr>
        <w:pStyle w:val="Heading1"/>
      </w:pPr>
      <w:r>
        <w:t xml:space="preserve">TRGP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~$1.500B vs. cons $1.468B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Permian inlet volumes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~7,080 MMcf/d vs. cons 7,034 MMcf/d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Fractionation volumes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~1.245 MMBbl/d vs. cons 1.234 MMBbl/d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(FY26)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5.7</m:t>
              </m:r>
              <m:r>
                <m:rPr>
                  <m:sty m:val="p"/>
                </m:rPr>
                <m:t>−</m:t>
              </m:r>
            </m:oMath>
            <w:r>
              <w:t xml:space="preserve">5.9B; midpoint $5.80B vs. cons $5.867B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Marketing/optimization (H2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opportunity, but narrower basis limits incremental upside;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Permian volume commentary (H2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maintain low-double-digit growth framing;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H2 EBITDA shortfall pressures estimates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2026-08-08T02:02:06Z</dcterms:created>
  <dcterms:modified xsi:type="dcterms:W3CDTF">2026-08-08T02:02:06Z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