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Targa Resources Corp. (TRGP)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Targa Resources Corp.</w:t>
            </w:r>
          </w:p>
        </w:tc>
      </w:tr>
      <w:tr>
        <w:tc>
          <w:tcPr>
            <w:tcW w:type="dxa" w:w="4320"/>
          </w:tcPr>
          <w:p>
            <w:r>
              <w:rPr>
                <w:rFonts w:ascii="Calibri" w:hAnsi="Calibri"/>
                <w:b/>
                <w:sz w:val="22"/>
              </w:rPr>
              <w:t>Ticker</w:t>
            </w:r>
          </w:p>
        </w:tc>
        <w:tc>
          <w:tcPr>
            <w:tcW w:type="dxa" w:w="4320"/>
          </w:tcPr>
          <w:p>
            <w:r>
              <w:rPr>
                <w:rFonts w:ascii="Calibri" w:hAnsi="Calibri"/>
                <w:sz w:val="22"/>
              </w:rPr>
              <w:t>TRGP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(before market open); webcast 11:00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 Sub-sector</w:t>
            </w:r>
          </w:p>
        </w:tc>
        <w:tc>
          <w:tcPr>
            <w:tcW w:type="dxa" w:w="4320"/>
          </w:tcPr>
          <w:p>
            <w:r>
              <w:rPr>
                <w:rFonts w:ascii="Calibri" w:hAnsi="Calibri"/>
                <w:sz w:val="22"/>
              </w:rPr>
              <w:t>Energy / Midstream Infrastructure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is a manageable bar after the Q1 guidance raise, Permian volumes are tracking materially above Q1 levels, and LPG export demand remains robust; the single biggest swing factor is the magnitude of marketing/optimization upside in Q2 relative to management's deliberately conservative guidance assumptions.</w:t>
      </w:r>
    </w:p>
    <w:p>
      <w:r>
        <w:rPr>
          <w:rFonts w:ascii="Calibri" w:hAnsi="Calibri"/>
          <w:color w:val="525866"/>
          <w:sz w:val="22"/>
        </w:rPr>
        <w:t xml:space="preserve">The bar heading into Q2 2026 is achievable but not low. Consensus Adjusted EBITDA of ~$1.47B implies roughly 5% sequential growth from Q1's record $1.40B, a reasonable ask given that Train 11 came online early in Q2, the Delaware Express NGL pipeline entered startup, and management explicitly flagged that Permian inlet volumes were "trending significantly higher" relative to Q1 at the time of the May 7 earnings call. </w:t>
      </w:r>
      <w:r>
        <w:rPr>
          <w:rFonts w:ascii="Calibri" w:hAnsi="Calibri"/>
          <w:b/>
          <w:color w:val="525866"/>
          <w:sz w:val="22"/>
        </w:rPr>
        <w:t>Management's tone on the Q1 call was notably bullish</w:t>
      </w:r>
      <w:r>
        <w:rPr>
          <w:rFonts w:ascii="Calibri" w:hAnsi="Calibri"/>
          <w:color w:val="525866"/>
          <w:sz w:val="22"/>
        </w:rPr>
        <w:t xml:space="preserve"> — CEO Matt Meloy called it "a pretty remarkable start" and CFO William Byers guided for "another record year across multiple dimensions" — yet the revised full-year EBITDA guidance of $5.7–5.9B was characterized internally as conservative on marketing/optimization for the back half, leaving potential cushion. Estimate revisions have moved steadily higher since Q1 (2Q26 consensus EPS has risen from ~$2.55 to ~$2.80 since the print), suggesting the street has already partially credited the upside, though the full-year consensus of ~$5.87B still sits near the midpoint of guidance. The stock has rallied ~3% since the Q1 print (indexed basis vs. XLE which is roughly flat), implying the market has priced in a solid but not blowout quarter. The key wildcard is </w:t>
      </w:r>
      <w:r>
        <w:rPr>
          <w:rFonts w:ascii="Calibri" w:hAnsi="Calibri"/>
          <w:b/>
          <w:color w:val="525866"/>
          <w:sz w:val="22"/>
        </w:rPr>
        <w:t>LPG export volumes and marketing margin</w:t>
      </w:r>
      <w:r>
        <w:rPr>
          <w:rFonts w:ascii="Calibri" w:hAnsi="Calibri"/>
          <w:color w:val="525866"/>
          <w:sz w:val="22"/>
        </w:rPr>
        <w:t>: management guided for record Q2 loadings driven by incremental butane demand from the Iran conflict and additional contracted capacity, and any shortfall here — or conversely, a material beat — is the most likely driver of a stock move on results day.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Adjusted EBITDA of ~$1.47B is a manageable bar given Train 11 contribution and volume tailwinds; </w:t>
      </w:r>
      <w:r>
        <w:rPr>
          <w:rFonts w:ascii="Calibri" w:hAnsi="Calibri"/>
          <w:b/>
          <w:color w:val="525866"/>
          <w:sz w:val="22"/>
        </w:rPr>
        <w:t>Permian inlet volumes are the bigger swing factor</w:t>
      </w:r>
      <w:r>
        <w:rPr>
          <w:rFonts w:ascii="Calibri" w:hAnsi="Calibri"/>
          <w:color w:val="525866"/>
          <w:sz w:val="22"/>
        </w:rPr>
        <w:t xml:space="preserve"> — any upside there flows directly to fee-based margin with minimal incremental cost.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EBITDA ($M)</w:t>
            </w:r>
          </w:p>
        </w:tc>
        <w:tc>
          <w:tcPr>
            <w:tcW w:type="dxa" w:w="1234"/>
          </w:tcPr>
          <w:p>
            <w:r>
              <w:rPr>
                <w:rFonts w:ascii="Calibri" w:hAnsi="Calibri"/>
                <w:sz w:val="22"/>
              </w:rPr>
              <w:t>$1,402.7M</w:t>
            </w:r>
          </w:p>
        </w:tc>
        <w:tc>
          <w:tcPr>
            <w:tcW w:type="dxa" w:w="1234"/>
          </w:tcPr>
          <w:p>
            <w:r>
              <w:rPr>
                <w:rFonts w:ascii="Calibri" w:hAnsi="Calibri"/>
                <w:sz w:val="22"/>
              </w:rPr>
              <w:t>$1,163.0M</w:t>
            </w:r>
          </w:p>
        </w:tc>
        <w:tc>
          <w:tcPr>
            <w:tcW w:type="dxa" w:w="1234"/>
          </w:tcPr>
          <w:p>
            <w:r>
              <w:rPr>
                <w:rFonts w:ascii="Calibri" w:hAnsi="Calibri"/>
                <w:sz w:val="22"/>
              </w:rPr>
              <w:t>$1,467.9M</w:t>
            </w:r>
          </w:p>
        </w:tc>
        <w:tc>
          <w:tcPr>
            <w:tcW w:type="dxa" w:w="1234"/>
          </w:tcPr>
          <w:p>
            <w:r>
              <w:rPr>
                <w:rFonts w:ascii="Calibri" w:hAnsi="Calibri"/>
                <w:sz w:val="22"/>
              </w:rPr>
              <w:t>+26.2% YoY</w:t>
            </w:r>
          </w:p>
        </w:tc>
        <w:tc>
          <w:tcPr>
            <w:tcW w:type="dxa" w:w="1234"/>
          </w:tcPr>
          <w:p>
            <w:r>
              <w:rPr>
                <w:rFonts w:ascii="Calibri" w:hAnsi="Calibri"/>
                <w:sz w:val="22"/>
              </w:rPr>
              <w:t>FY 2026: $5.7–$5.9B (midpoint $5.8B); no Q2-specific guidance issued</w:t>
            </w:r>
          </w:p>
        </w:tc>
        <w:tc>
          <w:tcPr>
            <w:tcW w:type="dxa" w:w="1234"/>
          </w:tcPr>
          <w:p>
            <w:r>
              <w:rPr>
                <w:rFonts w:ascii="Calibri" w:hAnsi="Calibri"/>
                <w:sz w:val="22"/>
              </w:rPr>
              <w:t>N/A (no Q2 guidance midpoint)</w:t>
            </w:r>
          </w:p>
        </w:tc>
      </w:tr>
      <w:tr>
        <w:tc>
          <w:tcPr>
            <w:tcW w:type="dxa" w:w="1234"/>
          </w:tcPr>
          <w:p>
            <w:r>
              <w:rPr>
                <w:rFonts w:ascii="Calibri" w:hAnsi="Calibri"/>
                <w:sz w:val="22"/>
              </w:rPr>
              <w:t>EPS — Diluted (Adj.) ($)</w:t>
            </w:r>
          </w:p>
        </w:tc>
        <w:tc>
          <w:tcPr>
            <w:tcW w:type="dxa" w:w="1234"/>
          </w:tcPr>
          <w:p>
            <w:r>
              <w:rPr>
                <w:rFonts w:ascii="Calibri" w:hAnsi="Calibri"/>
                <w:sz w:val="22"/>
              </w:rPr>
              <w:t>$2.23</w:t>
            </w:r>
          </w:p>
        </w:tc>
        <w:tc>
          <w:tcPr>
            <w:tcW w:type="dxa" w:w="1234"/>
          </w:tcPr>
          <w:p>
            <w:r>
              <w:rPr>
                <w:rFonts w:ascii="Calibri" w:hAnsi="Calibri"/>
                <w:sz w:val="22"/>
              </w:rPr>
              <w:t>$2.90</w:t>
            </w:r>
          </w:p>
        </w:tc>
        <w:tc>
          <w:tcPr>
            <w:tcW w:type="dxa" w:w="1234"/>
          </w:tcPr>
          <w:p>
            <w:r>
              <w:rPr>
                <w:rFonts w:ascii="Calibri" w:hAnsi="Calibri"/>
                <w:sz w:val="22"/>
              </w:rPr>
              <w:t>$2.80</w:t>
            </w:r>
          </w:p>
        </w:tc>
        <w:tc>
          <w:tcPr>
            <w:tcW w:type="dxa" w:w="1234"/>
          </w:tcPr>
          <w:p>
            <w:r>
              <w:rPr>
                <w:rFonts w:ascii="Calibri" w:hAnsi="Calibri"/>
                <w:sz w:val="22"/>
              </w:rPr>
              <w:t>-3.6% YoY</w:t>
            </w:r>
          </w:p>
        </w:tc>
        <w:tc>
          <w:tcPr>
            <w:tcW w:type="dxa" w:w="1234"/>
          </w:tcPr>
          <w:p>
            <w:r>
              <w:rPr>
                <w:rFonts w:ascii="Calibri" w:hAnsi="Calibri"/>
                <w:sz w:val="22"/>
              </w:rPr>
              <w:t>No Q2-specific EPS guidance</w:t>
            </w:r>
          </w:p>
        </w:tc>
        <w:tc>
          <w:tcPr>
            <w:tcW w:type="dxa" w:w="1234"/>
          </w:tcPr>
          <w:p>
            <w:r>
              <w:rPr>
                <w:rFonts w:ascii="Calibri" w:hAnsi="Calibri"/>
                <w:sz w:val="22"/>
              </w:rPr>
              <w:t>N/A</w:t>
            </w:r>
          </w:p>
        </w:tc>
      </w:tr>
      <w:tr>
        <w:tc>
          <w:tcPr>
            <w:tcW w:type="dxa" w:w="1234"/>
          </w:tcPr>
          <w:p>
            <w:r>
              <w:rPr>
                <w:rFonts w:ascii="Calibri" w:hAnsi="Calibri"/>
                <w:sz w:val="22"/>
              </w:rPr>
              <w:t>Permian Natural Gas Inlet Volume (MMcf/d, quarterly total MMcf)</w:t>
            </w:r>
          </w:p>
        </w:tc>
        <w:tc>
          <w:tcPr>
            <w:tcW w:type="dxa" w:w="1234"/>
          </w:tcPr>
          <w:p>
            <w:r>
              <w:rPr>
                <w:rFonts w:ascii="Calibri" w:hAnsi="Calibri"/>
                <w:sz w:val="22"/>
              </w:rPr>
              <w:t>6,730 MMcf/d avg (Q1 total: 6.73M MMcf)</w:t>
            </w:r>
          </w:p>
        </w:tc>
        <w:tc>
          <w:tcPr>
            <w:tcW w:type="dxa" w:w="1234"/>
          </w:tcPr>
          <w:p>
            <w:r>
              <w:rPr>
                <w:rFonts w:ascii="Calibri" w:hAnsi="Calibri"/>
                <w:sz w:val="22"/>
              </w:rPr>
              <w:t>6,278 MMcf/d avg (Q2 2025 total: 6.28M MMcf)</w:t>
            </w:r>
          </w:p>
        </w:tc>
        <w:tc>
          <w:tcPr>
            <w:tcW w:type="dxa" w:w="1234"/>
          </w:tcPr>
          <w:p>
            <w:r>
              <w:rPr>
                <w:rFonts w:ascii="Calibri" w:hAnsi="Calibri"/>
                <w:sz w:val="22"/>
              </w:rPr>
              <w:t>~7,034 MMcf/d avg (Q2 2026 consensus: 7.03M MMcf quarterly)</w:t>
            </w:r>
          </w:p>
        </w:tc>
        <w:tc>
          <w:tcPr>
            <w:tcW w:type="dxa" w:w="1234"/>
          </w:tcPr>
          <w:p>
            <w:r>
              <w:rPr>
                <w:rFonts w:ascii="Calibri" w:hAnsi="Calibri"/>
                <w:sz w:val="22"/>
              </w:rPr>
              <w:t>+12.0% YoY</w:t>
            </w:r>
          </w:p>
        </w:tc>
        <w:tc>
          <w:tcPr>
            <w:tcW w:type="dxa" w:w="1234"/>
          </w:tcPr>
          <w:p>
            <w:r>
              <w:rPr>
                <w:rFonts w:ascii="Calibri" w:hAnsi="Calibri"/>
                <w:sz w:val="22"/>
              </w:rPr>
              <w:t>FY 2026: low double-digit % growth; Q2 "trending significantly higher" vs. Q1</w:t>
            </w:r>
          </w:p>
        </w:tc>
        <w:tc>
          <w:tcPr>
            <w:tcW w:type="dxa" w:w="1234"/>
          </w:tcPr>
          <w:p>
            <w:r>
              <w:rPr>
                <w:rFonts w:ascii="Calibri" w:hAnsi="Calibri"/>
                <w:sz w:val="22"/>
              </w:rPr>
              <w:t>Consensus ~250 MMcf/d above Q1 avg; consistent with mgmt. commentary</w:t>
            </w:r>
          </w:p>
        </w:tc>
      </w:tr>
      <w:tr>
        <w:tc>
          <w:tcPr>
            <w:tcW w:type="dxa" w:w="1234"/>
          </w:tcPr>
          <w:p>
            <w:r>
              <w:rPr>
                <w:rFonts w:ascii="Calibri" w:hAnsi="Calibri"/>
                <w:sz w:val="22"/>
              </w:rPr>
              <w:t>NGL Pipeline Transportation Volume (MBbl/d)</w:t>
            </w:r>
          </w:p>
        </w:tc>
        <w:tc>
          <w:tcPr>
            <w:tcW w:type="dxa" w:w="1234"/>
          </w:tcPr>
          <w:p>
            <w:r>
              <w:rPr>
                <w:rFonts w:ascii="Calibri" w:hAnsi="Calibri"/>
                <w:sz w:val="22"/>
              </w:rPr>
              <w:t>1,016.8 MBbl/d</w:t>
            </w:r>
          </w:p>
        </w:tc>
        <w:tc>
          <w:tcPr>
            <w:tcW w:type="dxa" w:w="1234"/>
          </w:tcPr>
          <w:p>
            <w:r>
              <w:rPr>
                <w:rFonts w:ascii="Calibri" w:hAnsi="Calibri"/>
                <w:sz w:val="22"/>
              </w:rPr>
              <w:t>961.2 MBbl/d</w:t>
            </w:r>
          </w:p>
        </w:tc>
        <w:tc>
          <w:tcPr>
            <w:tcW w:type="dxa" w:w="1234"/>
          </w:tcPr>
          <w:p>
            <w:r>
              <w:rPr>
                <w:rFonts w:ascii="Calibri" w:hAnsi="Calibri"/>
                <w:sz w:val="22"/>
              </w:rPr>
              <w:t>1,070.9 MBbl/d</w:t>
            </w:r>
          </w:p>
        </w:tc>
        <w:tc>
          <w:tcPr>
            <w:tcW w:type="dxa" w:w="1234"/>
          </w:tcPr>
          <w:p>
            <w:r>
              <w:rPr>
                <w:rFonts w:ascii="Calibri" w:hAnsi="Calibri"/>
                <w:sz w:val="22"/>
              </w:rPr>
              <w:t>+11.4% YoY</w:t>
            </w:r>
          </w:p>
        </w:tc>
        <w:tc>
          <w:tcPr>
            <w:tcW w:type="dxa" w:w="1234"/>
          </w:tcPr>
          <w:p>
            <w:r>
              <w:rPr>
                <w:rFonts w:ascii="Calibri" w:hAnsi="Calibri"/>
                <w:sz w:val="22"/>
              </w:rPr>
              <w:t>No specific Q2 guidance; Delaware Express NGL pipeline in startup in Q2</w:t>
            </w:r>
          </w:p>
        </w:tc>
        <w:tc>
          <w:tcPr>
            <w:tcW w:type="dxa" w:w="1234"/>
          </w:tcPr>
          <w:p>
            <w:r>
              <w:rPr>
                <w:rFonts w:ascii="Calibri" w:hAnsi="Calibri"/>
                <w:sz w:val="22"/>
              </w:rPr>
              <w:t>Consensus above Q1 actual; Delaware Express ramp a key driver</w:t>
            </w:r>
          </w:p>
        </w:tc>
      </w:tr>
      <w:tr>
        <w:tc>
          <w:tcPr>
            <w:tcW w:type="dxa" w:w="1234"/>
          </w:tcPr>
          <w:p>
            <w:r>
              <w:rPr>
                <w:rFonts w:ascii="Calibri" w:hAnsi="Calibri"/>
                <w:sz w:val="22"/>
              </w:rPr>
              <w:t>Fractionation Volumes (MBbl/d)</w:t>
            </w:r>
          </w:p>
        </w:tc>
        <w:tc>
          <w:tcPr>
            <w:tcW w:type="dxa" w:w="1234"/>
          </w:tcPr>
          <w:p>
            <w:r>
              <w:rPr>
                <w:rFonts w:ascii="Calibri" w:hAnsi="Calibri"/>
                <w:sz w:val="22"/>
              </w:rPr>
              <w:t>1,145.2 MBbl/d</w:t>
            </w:r>
          </w:p>
        </w:tc>
        <w:tc>
          <w:tcPr>
            <w:tcW w:type="dxa" w:w="1234"/>
          </w:tcPr>
          <w:p>
            <w:r>
              <w:rPr>
                <w:rFonts w:ascii="Calibri" w:hAnsi="Calibri"/>
                <w:sz w:val="22"/>
              </w:rPr>
              <w:t>969.1 MBbl/d</w:t>
            </w:r>
          </w:p>
        </w:tc>
        <w:tc>
          <w:tcPr>
            <w:tcW w:type="dxa" w:w="1234"/>
          </w:tcPr>
          <w:p>
            <w:r>
              <w:rPr>
                <w:rFonts w:ascii="Calibri" w:hAnsi="Calibri"/>
                <w:sz w:val="22"/>
              </w:rPr>
              <w:t>1,190.3 MBbl/d</w:t>
            </w:r>
          </w:p>
        </w:tc>
        <w:tc>
          <w:tcPr>
            <w:tcW w:type="dxa" w:w="1234"/>
          </w:tcPr>
          <w:p>
            <w:r>
              <w:rPr>
                <w:rFonts w:ascii="Calibri" w:hAnsi="Calibri"/>
                <w:sz w:val="22"/>
              </w:rPr>
              <w:t>+22.8% YoY</w:t>
            </w:r>
          </w:p>
        </w:tc>
        <w:tc>
          <w:tcPr>
            <w:tcW w:type="dxa" w:w="1234"/>
          </w:tcPr>
          <w:p>
            <w:r>
              <w:rPr>
                <w:rFonts w:ascii="Calibri" w:hAnsi="Calibri"/>
                <w:sz w:val="22"/>
              </w:rPr>
              <w:t>Train 11 online early Q2; Trains 12 &amp; 13 under construction</w:t>
            </w:r>
          </w:p>
        </w:tc>
        <w:tc>
          <w:tcPr>
            <w:tcW w:type="dxa" w:w="1234"/>
          </w:tcPr>
          <w:p>
            <w:r>
              <w:rPr>
                <w:rFonts w:ascii="Calibri" w:hAnsi="Calibri"/>
                <w:sz w:val="22"/>
              </w:rPr>
              <w:t>Consensus above Q1; Train 11 contribution is the incremental driver</w:t>
            </w:r>
          </w:p>
        </w:tc>
      </w:tr>
      <w:tr>
        <w:tc>
          <w:tcPr>
            <w:tcW w:type="dxa" w:w="1234"/>
          </w:tcPr>
          <w:p>
            <w:r>
              <w:rPr>
                <w:rFonts w:ascii="Calibri" w:hAnsi="Calibri"/>
                <w:sz w:val="22"/>
              </w:rPr>
              <w:t>LPG Export Volumes (MBbl/d)</w:t>
            </w:r>
          </w:p>
        </w:tc>
        <w:tc>
          <w:tcPr>
            <w:tcW w:type="dxa" w:w="1234"/>
          </w:tcPr>
          <w:p>
            <w:r>
              <w:rPr>
                <w:rFonts w:ascii="Calibri" w:hAnsi="Calibri"/>
                <w:sz w:val="22"/>
              </w:rPr>
              <w:t>437.0 MBbl/d</w:t>
            </w:r>
          </w:p>
        </w:tc>
        <w:tc>
          <w:tcPr>
            <w:tcW w:type="dxa" w:w="1234"/>
          </w:tcPr>
          <w:p>
            <w:r>
              <w:rPr>
                <w:rFonts w:ascii="Calibri" w:hAnsi="Calibri"/>
                <w:sz w:val="22"/>
              </w:rPr>
              <w:t>423.1 MBbl/d</w:t>
            </w:r>
          </w:p>
        </w:tc>
        <w:tc>
          <w:tcPr>
            <w:tcW w:type="dxa" w:w="1234"/>
          </w:tcPr>
          <w:p>
            <w:r>
              <w:rPr>
                <w:rFonts w:ascii="Calibri" w:hAnsi="Calibri"/>
                <w:sz w:val="22"/>
              </w:rPr>
              <w:t>467.7 MBbl/d</w:t>
            </w:r>
          </w:p>
        </w:tc>
        <w:tc>
          <w:tcPr>
            <w:tcW w:type="dxa" w:w="1234"/>
          </w:tcPr>
          <w:p>
            <w:r>
              <w:rPr>
                <w:rFonts w:ascii="Calibri" w:hAnsi="Calibri"/>
                <w:sz w:val="22"/>
              </w:rPr>
              <w:t>+10.6% YoY</w:t>
            </w:r>
          </w:p>
        </w:tc>
        <w:tc>
          <w:tcPr>
            <w:tcW w:type="dxa" w:w="1234"/>
          </w:tcPr>
          <w:p>
            <w:r>
              <w:rPr>
                <w:rFonts w:ascii="Calibri" w:hAnsi="Calibri"/>
                <w:sz w:val="22"/>
              </w:rPr>
              <w:t>Mgmt. guided for "record Targa loadings in Q2"; unplanned Q1 outage resolved early Q2</w:t>
            </w:r>
          </w:p>
        </w:tc>
        <w:tc>
          <w:tcPr>
            <w:tcW w:type="dxa" w:w="1234"/>
          </w:tcPr>
          <w:p>
            <w:r>
              <w:rPr>
                <w:rFonts w:ascii="Calibri" w:hAnsi="Calibri"/>
                <w:sz w:val="22"/>
              </w:rPr>
              <w:t>Consensus well above Q1 actual; record loadings guidance implies upside risk to consensus</w:t>
            </w:r>
          </w:p>
        </w:tc>
      </w:tr>
    </w:tbl>
    <w:p>
      <w:r>
        <w:rPr>
          <w:rFonts w:ascii="Calibri" w:hAnsi="Calibri"/>
          <w:color w:val="525866"/>
          <w:sz w:val="22"/>
        </w:rPr>
        <w:t>Sources: Visible Alpha Consensus and Actuals Data (Adjusted EBITDA, EPS, Permian volumes, NGL pipeline volumes, fractionation volumes, LPG export volumes); TRGP Q1 2026 Earnings Release and Earnings Call Transcript (May 7, 2026).</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KPI 1: 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$1,402.7</w:t>
            </w:r>
          </w:p>
        </w:tc>
        <w:tc>
          <w:tcPr>
            <w:tcW w:type="dxa" w:w="1728"/>
          </w:tcPr>
          <w:p>
            <w:r>
              <w:rPr>
                <w:rFonts w:ascii="Calibri" w:hAnsi="Calibri"/>
                <w:sz w:val="22"/>
              </w:rPr>
              <w:t>$1,351.2</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$1,341.1</w:t>
            </w:r>
          </w:p>
        </w:tc>
        <w:tc>
          <w:tcPr>
            <w:tcW w:type="dxa" w:w="1728"/>
          </w:tcPr>
          <w:p>
            <w:r>
              <w:rPr>
                <w:rFonts w:ascii="Calibri" w:hAnsi="Calibri"/>
                <w:sz w:val="22"/>
              </w:rPr>
              <w:t>$1,272.8</w:t>
            </w:r>
          </w:p>
        </w:tc>
        <w:tc>
          <w:tcPr>
            <w:tcW w:type="dxa" w:w="1728"/>
          </w:tcPr>
          <w:p>
            <w:r>
              <w:rPr>
                <w:rFonts w:ascii="Calibri" w:hAnsi="Calibri"/>
                <w:b/>
                <w:color w:val="30A46C"/>
                <w:sz w:val="22"/>
              </w:rPr>
              <w:t>+5.4%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$1,274.8</w:t>
            </w:r>
          </w:p>
        </w:tc>
        <w:tc>
          <w:tcPr>
            <w:tcW w:type="dxa" w:w="1728"/>
          </w:tcPr>
          <w:p>
            <w:r>
              <w:rPr>
                <w:rFonts w:ascii="Calibri" w:hAnsi="Calibri"/>
                <w:sz w:val="22"/>
              </w:rPr>
              <w:t>$1,210.9</w:t>
            </w:r>
          </w:p>
        </w:tc>
        <w:tc>
          <w:tcPr>
            <w:tcW w:type="dxa" w:w="1728"/>
          </w:tcPr>
          <w:p>
            <w:r>
              <w:rPr>
                <w:rFonts w:ascii="Calibri" w:hAnsi="Calibri"/>
                <w:b/>
                <w:color w:val="30A46C"/>
                <w:sz w:val="22"/>
              </w:rPr>
              <w:t>+5.3%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$1,163.0</w:t>
            </w:r>
          </w:p>
        </w:tc>
        <w:tc>
          <w:tcPr>
            <w:tcW w:type="dxa" w:w="1728"/>
          </w:tcPr>
          <w:p>
            <w:r>
              <w:rPr>
                <w:rFonts w:ascii="Calibri" w:hAnsi="Calibri"/>
                <w:sz w:val="22"/>
              </w:rPr>
              <w:t>$1,149.4</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$1,178.5</w:t>
            </w:r>
          </w:p>
        </w:tc>
        <w:tc>
          <w:tcPr>
            <w:tcW w:type="dxa" w:w="1728"/>
          </w:tcPr>
          <w:p>
            <w:r>
              <w:rPr>
                <w:rFonts w:ascii="Calibri" w:hAnsi="Calibri"/>
                <w:sz w:val="22"/>
              </w:rPr>
              <w:t>$1,164.8</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$1,122.2</w:t>
            </w:r>
          </w:p>
        </w:tc>
        <w:tc>
          <w:tcPr>
            <w:tcW w:type="dxa" w:w="1728"/>
          </w:tcPr>
          <w:p>
            <w:r>
              <w:rPr>
                <w:rFonts w:ascii="Calibri" w:hAnsi="Calibri"/>
                <w:sz w:val="22"/>
              </w:rPr>
              <w:t>$1,102.1</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$1,069.7</w:t>
            </w:r>
          </w:p>
        </w:tc>
        <w:tc>
          <w:tcPr>
            <w:tcW w:type="dxa" w:w="1728"/>
          </w:tcPr>
          <w:p>
            <w:r>
              <w:rPr>
                <w:rFonts w:ascii="Calibri" w:hAnsi="Calibri"/>
                <w:sz w:val="22"/>
              </w:rPr>
              <w:t>$1,010.4</w:t>
            </w:r>
          </w:p>
        </w:tc>
        <w:tc>
          <w:tcPr>
            <w:tcW w:type="dxa" w:w="1728"/>
          </w:tcPr>
          <w:p>
            <w:r>
              <w:rPr>
                <w:rFonts w:ascii="Calibri" w:hAnsi="Calibri"/>
                <w:b/>
                <w:color w:val="30A46C"/>
                <w:sz w:val="22"/>
              </w:rPr>
              <w:t>+5.9%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Permian Natural Gas Inlet Volume (MMcf, quarterly total)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(MMcf)</w:t>
            </w:r>
          </w:p>
        </w:tc>
        <w:tc>
          <w:tcPr>
            <w:tcW w:type="dxa" w:w="1728"/>
            <w:shd w:val="clear" w:color="auto" w:fill="3B4259"/>
          </w:tcPr>
          <w:p>
            <w:r>
              <w:rPr>
                <w:rFonts w:ascii="Calibri" w:hAnsi="Calibri"/>
                <w:b/>
                <w:color w:val="FFFFFF"/>
                <w:sz w:val="22"/>
              </w:rPr>
              <w:t>Consensus (MMcf)</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6,730,000</w:t>
            </w:r>
          </w:p>
        </w:tc>
        <w:tc>
          <w:tcPr>
            <w:tcW w:type="dxa" w:w="1728"/>
          </w:tcPr>
          <w:p>
            <w:r>
              <w:rPr>
                <w:rFonts w:ascii="Calibri" w:hAnsi="Calibri"/>
                <w:sz w:val="22"/>
              </w:rPr>
              <w:t>6,837,660</w:t>
            </w:r>
          </w:p>
        </w:tc>
        <w:tc>
          <w:tcPr>
            <w:tcW w:type="dxa" w:w="1728"/>
          </w:tcPr>
          <w:p>
            <w:r>
              <w:rPr>
                <w:rFonts w:ascii="Calibri" w:hAnsi="Calibri"/>
                <w:b/>
                <w:color w:val="E5484D"/>
                <w:sz w:val="22"/>
              </w:rPr>
              <w:t>-1.6%</w:t>
            </w:r>
          </w:p>
        </w:tc>
        <w:tc>
          <w:tcPr>
            <w:tcW w:type="dxa" w:w="1728"/>
          </w:tcPr>
          <w:p>
            <w:r>
              <w:rPr>
                <w:rFonts w:ascii="Calibri" w:hAnsi="Calibri"/>
                <w:sz w:val="22"/>
              </w:rPr>
              <w:t>Miss (weather/shut-in impact)</w:t>
            </w:r>
          </w:p>
        </w:tc>
      </w:tr>
      <w:tr>
        <w:tc>
          <w:tcPr>
            <w:tcW w:type="dxa" w:w="1728"/>
          </w:tcPr>
          <w:p>
            <w:r>
              <w:rPr>
                <w:rFonts w:ascii="Calibri" w:hAnsi="Calibri"/>
                <w:sz w:val="22"/>
              </w:rPr>
              <w:t>Q4 2025</w:t>
            </w:r>
          </w:p>
        </w:tc>
        <w:tc>
          <w:tcPr>
            <w:tcW w:type="dxa" w:w="1728"/>
          </w:tcPr>
          <w:p>
            <w:r>
              <w:rPr>
                <w:rFonts w:ascii="Calibri" w:hAnsi="Calibri"/>
                <w:sz w:val="22"/>
              </w:rPr>
              <w:t>6,650,700</w:t>
            </w:r>
          </w:p>
        </w:tc>
        <w:tc>
          <w:tcPr>
            <w:tcW w:type="dxa" w:w="1728"/>
          </w:tcPr>
          <w:p>
            <w:r>
              <w:rPr>
                <w:rFonts w:ascii="Calibri" w:hAnsi="Calibri"/>
                <w:sz w:val="22"/>
              </w:rPr>
              <w:t>6,761,180</w:t>
            </w:r>
          </w:p>
        </w:tc>
        <w:tc>
          <w:tcPr>
            <w:tcW w:type="dxa" w:w="1728"/>
          </w:tcPr>
          <w:p>
            <w:r>
              <w:rPr>
                <w:rFonts w:ascii="Calibri" w:hAnsi="Calibri"/>
                <w:b/>
                <w:color w:val="E5484D"/>
                <w:sz w:val="22"/>
              </w:rPr>
              <w:t>-1.6%</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6,621,600</w:t>
            </w:r>
          </w:p>
        </w:tc>
        <w:tc>
          <w:tcPr>
            <w:tcW w:type="dxa" w:w="1728"/>
          </w:tcPr>
          <w:p>
            <w:r>
              <w:rPr>
                <w:rFonts w:ascii="Calibri" w:hAnsi="Calibri"/>
                <w:sz w:val="22"/>
              </w:rPr>
              <w:t>6,569,910</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6,278,000</w:t>
            </w:r>
          </w:p>
        </w:tc>
        <w:tc>
          <w:tcPr>
            <w:tcW w:type="dxa" w:w="1728"/>
          </w:tcPr>
          <w:p>
            <w:r>
              <w:rPr>
                <w:rFonts w:ascii="Calibri" w:hAnsi="Calibri"/>
                <w:sz w:val="22"/>
              </w:rPr>
              <w:t>6,197,860</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6,005,900</w:t>
            </w:r>
          </w:p>
        </w:tc>
        <w:tc>
          <w:tcPr>
            <w:tcW w:type="dxa" w:w="1728"/>
          </w:tcPr>
          <w:p>
            <w:r>
              <w:rPr>
                <w:rFonts w:ascii="Calibri" w:hAnsi="Calibri"/>
                <w:sz w:val="22"/>
              </w:rPr>
              <w:t>6,125,770</w:t>
            </w:r>
          </w:p>
        </w:tc>
        <w:tc>
          <w:tcPr>
            <w:tcW w:type="dxa" w:w="1728"/>
          </w:tcPr>
          <w:p>
            <w:r>
              <w:rPr>
                <w:rFonts w:ascii="Calibri" w:hAnsi="Calibri"/>
                <w:b/>
                <w:color w:val="E5484D"/>
                <w:sz w:val="22"/>
              </w:rPr>
              <w:t>-2.0%</w:t>
            </w:r>
          </w:p>
        </w:tc>
        <w:tc>
          <w:tcPr>
            <w:tcW w:type="dxa" w:w="1728"/>
          </w:tcPr>
          <w:p>
            <w:r>
              <w:rPr>
                <w:rFonts w:ascii="Calibri" w:hAnsi="Calibri"/>
                <w:sz w:val="22"/>
              </w:rPr>
              <w:t>Miss (weather impact)</w:t>
            </w:r>
          </w:p>
        </w:tc>
      </w:tr>
      <w:tr>
        <w:tc>
          <w:tcPr>
            <w:tcW w:type="dxa" w:w="1728"/>
          </w:tcPr>
          <w:p>
            <w:r>
              <w:rPr>
                <w:rFonts w:ascii="Calibri" w:hAnsi="Calibri"/>
                <w:sz w:val="22"/>
              </w:rPr>
              <w:t>Q4 2024</w:t>
            </w:r>
          </w:p>
        </w:tc>
        <w:tc>
          <w:tcPr>
            <w:tcW w:type="dxa" w:w="1728"/>
          </w:tcPr>
          <w:p>
            <w:r>
              <w:rPr>
                <w:rFonts w:ascii="Calibri" w:hAnsi="Calibri"/>
                <w:sz w:val="22"/>
              </w:rPr>
              <w:t>6,065,200</w:t>
            </w:r>
          </w:p>
        </w:tc>
        <w:tc>
          <w:tcPr>
            <w:tcW w:type="dxa" w:w="1728"/>
          </w:tcPr>
          <w:p>
            <w:r>
              <w:rPr>
                <w:rFonts w:ascii="Calibri" w:hAnsi="Calibri"/>
                <w:sz w:val="22"/>
              </w:rPr>
              <w:t>6,131,380</w:t>
            </w:r>
          </w:p>
        </w:tc>
        <w:tc>
          <w:tcPr>
            <w:tcW w:type="dxa" w:w="1728"/>
          </w:tcPr>
          <w:p>
            <w:r>
              <w:rPr>
                <w:rFonts w:ascii="Calibri" w:hAnsi="Calibri"/>
                <w:b/>
                <w:color w:val="E5484D"/>
                <w:sz w:val="22"/>
              </w:rPr>
              <w:t>-1.1%</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5,982,200</w:t>
            </w:r>
          </w:p>
        </w:tc>
        <w:tc>
          <w:tcPr>
            <w:tcW w:type="dxa" w:w="1728"/>
          </w:tcPr>
          <w:p>
            <w:r>
              <w:rPr>
                <w:rFonts w:ascii="Calibri" w:hAnsi="Calibri"/>
                <w:sz w:val="22"/>
              </w:rPr>
              <w:t>5,813,660</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TRGP has beaten Adjusted EBITDA consensus in every reported quarter over the trailing seven periods, with beats ranging from +1.2% to +5.9%; Permian volume beats are more mixed, with weather events and Waha-driven shut-ins causing periodic misses, though the underlying trend is consistently above prior-year levels.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materially at Q1 earnings (May 7) and has not been formally revised since; management's tone remains constructive, with Q2 Permian volumes tracking well above Q1 and LPG export loadings expected to be a record.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 (Post-Earnings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$5.7B – $5.9B (midpoint $5.8B); raised from prior $5.4–$5.6B midpoint at Q4 2025 earnings</w:t>
            </w:r>
          </w:p>
        </w:tc>
        <w:tc>
          <w:tcPr>
            <w:tcW w:type="dxa" w:w="1728"/>
          </w:tcPr>
          <w:p>
            <w:r>
              <w:rPr>
                <w:rFonts w:ascii="Calibri" w:hAnsi="Calibri"/>
                <w:sz w:val="22"/>
              </w:rPr>
              <w:t>— (no post-Q1 revision)</w:t>
            </w:r>
          </w:p>
        </w:tc>
        <w:tc>
          <w:tcPr>
            <w:tcW w:type="dxa" w:w="1728"/>
          </w:tcPr>
          <w:p>
            <w:r>
              <w:rPr>
                <w:rFonts w:ascii="Calibri" w:hAnsi="Calibri"/>
                <w:sz w:val="22"/>
              </w:rPr>
              <w:t>$5.87B</w:t>
            </w:r>
          </w:p>
        </w:tc>
        <w:tc>
          <w:tcPr>
            <w:tcW w:type="dxa" w:w="1728"/>
          </w:tcPr>
          <w:p>
            <w:r>
              <w:rPr>
                <w:rFonts w:ascii="Calibri" w:hAnsi="Calibri"/>
                <w:sz w:val="22"/>
              </w:rPr>
              <w:t>↑ Raised at Q1 2026 earnings (May 7); driven by marketing/optimization and LPG export strength; mgmt. characterized revised range as still conservative on back-half marketing</w:t>
            </w:r>
          </w:p>
        </w:tc>
      </w:tr>
      <w:tr>
        <w:tc>
          <w:tcPr>
            <w:tcW w:type="dxa" w:w="1728"/>
          </w:tcPr>
          <w:p>
            <w:r>
              <w:rPr>
                <w:rFonts w:ascii="Calibri" w:hAnsi="Calibri"/>
                <w:sz w:val="22"/>
              </w:rPr>
              <w:t>FY 2026 Net Growth Capex</w:t>
            </w:r>
          </w:p>
        </w:tc>
        <w:tc>
          <w:tcPr>
            <w:tcW w:type="dxa" w:w="1728"/>
          </w:tcPr>
          <w:p>
            <w:r>
              <w:rPr>
                <w:rFonts w:ascii="Calibri" w:hAnsi="Calibri"/>
                <w:sz w:val="22"/>
              </w:rPr>
              <w:t>~$4.5B (unchanged despite announcing Roadrunner III and Copperhead II)</w:t>
            </w:r>
          </w:p>
        </w:tc>
        <w:tc>
          <w:tcPr>
            <w:tcW w:type="dxa" w:w="1728"/>
          </w:tcPr>
          <w:p>
            <w:r>
              <w:rPr>
                <w:rFonts w:ascii="Calibri" w:hAnsi="Calibri"/>
                <w:sz w:val="22"/>
              </w:rPr>
              <w:t>—</w:t>
            </w:r>
          </w:p>
        </w:tc>
        <w:tc>
          <w:tcPr>
            <w:tcW w:type="dxa" w:w="1728"/>
          </w:tcPr>
          <w:p>
            <w:r>
              <w:rPr>
                <w:rFonts w:ascii="Calibri" w:hAnsi="Calibri"/>
                <w:sz w:val="22"/>
              </w:rPr>
              <w:t>~$4.5B</w:t>
            </w:r>
          </w:p>
        </w:tc>
        <w:tc>
          <w:tcPr>
            <w:tcW w:type="dxa" w:w="1728"/>
          </w:tcPr>
          <w:p>
            <w:r>
              <w:rPr>
                <w:rFonts w:ascii="Calibri" w:hAnsi="Calibri"/>
                <w:sz w:val="22"/>
              </w:rPr>
              <w:t>Unchanged; long-lead items for new plants ordered in Feb 2026; no incremental capex impact in 2026</w:t>
            </w:r>
          </w:p>
        </w:tc>
      </w:tr>
      <w:tr>
        <w:tc>
          <w:tcPr>
            <w:tcW w:type="dxa" w:w="1728"/>
          </w:tcPr>
          <w:p>
            <w:r>
              <w:rPr>
                <w:rFonts w:ascii="Calibri" w:hAnsi="Calibri"/>
                <w:sz w:val="22"/>
              </w:rPr>
              <w:t>FY 2026 Net Maintenance Capex</w:t>
            </w:r>
          </w:p>
        </w:tc>
        <w:tc>
          <w:tcPr>
            <w:tcW w:type="dxa" w:w="1728"/>
          </w:tcPr>
          <w:p>
            <w:r>
              <w:rPr>
                <w:rFonts w:ascii="Calibri" w:hAnsi="Calibri"/>
                <w:sz w:val="22"/>
              </w:rPr>
              <w:t>~$250M</w:t>
            </w:r>
          </w:p>
        </w:tc>
        <w:tc>
          <w:tcPr>
            <w:tcW w:type="dxa" w:w="1728"/>
          </w:tcPr>
          <w:p>
            <w:r>
              <w:rPr>
                <w:rFonts w:ascii="Calibri" w:hAnsi="Calibri"/>
                <w:sz w:val="22"/>
              </w:rPr>
              <w:t>—</w:t>
            </w:r>
          </w:p>
        </w:tc>
        <w:tc>
          <w:tcPr>
            <w:tcW w:type="dxa" w:w="1728"/>
          </w:tcPr>
          <w:p>
            <w:r>
              <w:rPr>
                <w:rFonts w:ascii="Calibri" w:hAnsi="Calibri"/>
                <w:sz w:val="22"/>
              </w:rPr>
              <w:t>~$250M</w:t>
            </w:r>
          </w:p>
        </w:tc>
        <w:tc>
          <w:tcPr>
            <w:tcW w:type="dxa" w:w="1728"/>
          </w:tcPr>
          <w:p>
            <w:r>
              <w:rPr>
                <w:rFonts w:ascii="Calibri" w:hAnsi="Calibri"/>
                <w:sz w:val="22"/>
              </w:rPr>
              <w:t>Unchanged</w:t>
            </w:r>
          </w:p>
        </w:tc>
      </w:tr>
      <w:tr>
        <w:tc>
          <w:tcPr>
            <w:tcW w:type="dxa" w:w="1728"/>
          </w:tcPr>
          <w:p>
            <w:r>
              <w:rPr>
                <w:rFonts w:ascii="Calibri" w:hAnsi="Calibri"/>
                <w:sz w:val="22"/>
              </w:rPr>
              <w:t>FY 2026 Permian Volume Growth</w:t>
            </w:r>
          </w:p>
        </w:tc>
        <w:tc>
          <w:tcPr>
            <w:tcW w:type="dxa" w:w="1728"/>
          </w:tcPr>
          <w:p>
            <w:r>
              <w:rPr>
                <w:rFonts w:ascii="Calibri" w:hAnsi="Calibri"/>
                <w:sz w:val="22"/>
              </w:rPr>
              <w:t>Low double-digit % YoY growth maintained; Q2 volumes "trending significantly higher" vs. Q1</w:t>
            </w:r>
          </w:p>
        </w:tc>
        <w:tc>
          <w:tcPr>
            <w:tcW w:type="dxa" w:w="1728"/>
          </w:tcPr>
          <w:p>
            <w:r>
              <w:rPr>
                <w:rFonts w:ascii="Calibri" w:hAnsi="Calibri"/>
                <w:sz w:val="22"/>
              </w:rPr>
              <w:t>—</w:t>
            </w:r>
          </w:p>
        </w:tc>
        <w:tc>
          <w:tcPr>
            <w:tcW w:type="dxa" w:w="1728"/>
          </w:tcPr>
          <w:p>
            <w:r>
              <w:rPr>
                <w:rFonts w:ascii="Calibri" w:hAnsi="Calibri"/>
                <w:sz w:val="22"/>
              </w:rPr>
              <w:t>Consensus implies ~12% YoY growth for FY 2026</w:t>
            </w:r>
          </w:p>
        </w:tc>
        <w:tc>
          <w:tcPr>
            <w:tcW w:type="dxa" w:w="1728"/>
          </w:tcPr>
          <w:p>
            <w:r>
              <w:rPr>
                <w:rFonts w:ascii="Calibri" w:hAnsi="Calibri"/>
                <w:sz w:val="22"/>
              </w:rPr>
              <w:t>Tone confident despite Waha-driven shut-ins; volumes tracking on plan</w:t>
            </w:r>
          </w:p>
        </w:tc>
      </w:tr>
      <w:tr>
        <w:tc>
          <w:tcPr>
            <w:tcW w:type="dxa" w:w="1728"/>
          </w:tcPr>
          <w:p>
            <w:r>
              <w:rPr>
                <w:rFonts w:ascii="Calibri" w:hAnsi="Calibri"/>
                <w:sz w:val="22"/>
              </w:rPr>
              <w:t>Quarterly Common Dividend</w:t>
            </w:r>
          </w:p>
        </w:tc>
        <w:tc>
          <w:tcPr>
            <w:tcW w:type="dxa" w:w="1728"/>
          </w:tcPr>
          <w:p>
            <w:r>
              <w:rPr>
                <w:rFonts w:ascii="Calibri" w:hAnsi="Calibri"/>
                <w:sz w:val="22"/>
              </w:rPr>
              <w:t>$1.25/share ($5.00 annualized); 25% increase vs. Q1 2025</w:t>
            </w:r>
          </w:p>
        </w:tc>
        <w:tc>
          <w:tcPr>
            <w:tcW w:type="dxa" w:w="1728"/>
          </w:tcPr>
          <w:p>
            <w:r>
              <w:rPr>
                <w:rFonts w:ascii="Calibri" w:hAnsi="Calibri"/>
                <w:sz w:val="22"/>
              </w:rPr>
              <w:t>$1.25/share declared for Q2 2026 (July 16, 2026 press release); payable Aug. 14, 2026</w:t>
            </w:r>
          </w:p>
        </w:tc>
        <w:tc>
          <w:tcPr>
            <w:tcW w:type="dxa" w:w="1728"/>
          </w:tcPr>
          <w:p>
            <w:r>
              <w:rPr>
                <w:rFonts w:ascii="Calibri" w:hAnsi="Calibri"/>
                <w:sz w:val="22"/>
              </w:rPr>
              <w:t>$5.00 annualized</w:t>
            </w:r>
          </w:p>
        </w:tc>
        <w:tc>
          <w:tcPr>
            <w:tcW w:type="dxa" w:w="1728"/>
          </w:tcPr>
          <w:p>
            <w:r>
              <w:rPr>
                <w:rFonts w:ascii="Calibri" w:hAnsi="Calibri"/>
                <w:sz w:val="22"/>
              </w:rPr>
              <w:t>Dividend confirmed; consistent with Q1 level; record date July 31, 2026</w:t>
            </w:r>
          </w:p>
        </w:tc>
      </w:tr>
      <w:tr>
        <w:tc>
          <w:tcPr>
            <w:tcW w:type="dxa" w:w="1728"/>
          </w:tcPr>
          <w:p>
            <w:r>
              <w:rPr>
                <w:rFonts w:ascii="Calibri" w:hAnsi="Calibri"/>
                <w:sz w:val="22"/>
              </w:rPr>
              <w:t>LPG Export Volumes (Q2)</w:t>
            </w:r>
          </w:p>
        </w:tc>
        <w:tc>
          <w:tcPr>
            <w:tcW w:type="dxa" w:w="1728"/>
          </w:tcPr>
          <w:p>
            <w:r>
              <w:rPr>
                <w:rFonts w:ascii="Calibri" w:hAnsi="Calibri"/>
                <w:sz w:val="22"/>
              </w:rPr>
              <w:t>"Record Targa loadings in Q2" guided on May 7 call; unplanned Q1 outage resolved early Q2; additional contracts secured</w:t>
            </w:r>
          </w:p>
        </w:tc>
        <w:tc>
          <w:tcPr>
            <w:tcW w:type="dxa" w:w="1728"/>
          </w:tcPr>
          <w:p>
            <w:r>
              <w:rPr>
                <w:rFonts w:ascii="Calibri" w:hAnsi="Calibri"/>
                <w:sz w:val="22"/>
              </w:rPr>
              <w:t>—</w:t>
            </w:r>
          </w:p>
        </w:tc>
        <w:tc>
          <w:tcPr>
            <w:tcW w:type="dxa" w:w="1728"/>
          </w:tcPr>
          <w:p>
            <w:r>
              <w:rPr>
                <w:rFonts w:ascii="Calibri" w:hAnsi="Calibri"/>
                <w:sz w:val="22"/>
              </w:rPr>
              <w:t>~467.7 MBbl/d (consensus)</w:t>
            </w:r>
          </w:p>
        </w:tc>
        <w:tc>
          <w:tcPr>
            <w:tcW w:type="dxa" w:w="1728"/>
          </w:tcPr>
          <w:p>
            <w:r>
              <w:rPr>
                <w:rFonts w:ascii="Calibri" w:hAnsi="Calibri"/>
                <w:sz w:val="22"/>
              </w:rPr>
              <w:t>Mgmt. cited incremental butane demand from Iran conflict; additional dock flexibility secured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Q1 earnings — Q2 2026 EBITDA consensus is up ~1.4% and FY 2026 consensus is up ~0.2% from the post-Q1 baseline — tracking with guidance rather than diverging; </w:t>
      </w:r>
      <w:r>
        <w:rPr>
          <w:rFonts w:ascii="Calibri" w:hAnsi="Calibri"/>
          <w:b/>
          <w:color w:val="525866"/>
          <w:sz w:val="22"/>
        </w:rPr>
        <w:t>the gap between current consensus and the top of guidance ($5.9B) represents meaningful potential upside if marketing/optimization continues to outperform management's conservative assumptions.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7)</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$1,447.5M</w:t>
            </w:r>
          </w:p>
        </w:tc>
        <w:tc>
          <w:tcPr>
            <w:tcW w:type="dxa" w:w="1080"/>
          </w:tcPr>
          <w:p>
            <w:r>
              <w:rPr>
                <w:rFonts w:ascii="Calibri" w:hAnsi="Calibri"/>
                <w:sz w:val="22"/>
              </w:rPr>
              <w:t>$1,467.9M</w:t>
            </w:r>
          </w:p>
        </w:tc>
        <w:tc>
          <w:tcPr>
            <w:tcW w:type="dxa" w:w="1080"/>
          </w:tcPr>
          <w:p>
            <w:r>
              <w:rPr>
                <w:rFonts w:ascii="Calibri" w:hAnsi="Calibri"/>
                <w:b/>
                <w:color w:val="30A46C"/>
                <w:sz w:val="22"/>
              </w:rPr>
              <w:t>+1.4%</w:t>
            </w:r>
          </w:p>
        </w:tc>
        <w:tc>
          <w:tcPr>
            <w:tcW w:type="dxa" w:w="1080"/>
          </w:tcPr>
          <w:p>
            <w:r>
              <w:rPr>
                <w:rFonts w:ascii="Calibri" w:hAnsi="Calibri"/>
                <w:sz w:val="22"/>
              </w:rPr>
              <w:t>No Q2-specific guidance; FY midpoint $5.8B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~$5.87B FY run-rate; near top of $5.7–$5.9B range</w:t>
            </w:r>
          </w:p>
        </w:tc>
      </w:tr>
      <w:tr>
        <w:tc>
          <w:tcPr>
            <w:tcW w:type="dxa" w:w="1080"/>
          </w:tcPr>
          <w:p>
            <w:r>
              <w:rPr>
                <w:rFonts w:ascii="Calibri" w:hAnsi="Calibri"/>
                <w:sz w:val="22"/>
              </w:rPr>
              <w:t>Adj. EBITDA — FY 2026</w:t>
            </w:r>
          </w:p>
        </w:tc>
        <w:tc>
          <w:tcPr>
            <w:tcW w:type="dxa" w:w="1080"/>
          </w:tcPr>
          <w:p>
            <w:r>
              <w:rPr>
                <w:rFonts w:ascii="Calibri" w:hAnsi="Calibri"/>
                <w:sz w:val="22"/>
              </w:rPr>
              <w:t>$5,852.2M</w:t>
            </w:r>
          </w:p>
        </w:tc>
        <w:tc>
          <w:tcPr>
            <w:tcW w:type="dxa" w:w="1080"/>
          </w:tcPr>
          <w:p>
            <w:r>
              <w:rPr>
                <w:rFonts w:ascii="Calibri" w:hAnsi="Calibri"/>
                <w:sz w:val="22"/>
              </w:rPr>
              <w:t>$5,866.9M</w:t>
            </w:r>
          </w:p>
        </w:tc>
        <w:tc>
          <w:tcPr>
            <w:tcW w:type="dxa" w:w="1080"/>
          </w:tcPr>
          <w:p>
            <w:r>
              <w:rPr>
                <w:rFonts w:ascii="Calibri" w:hAnsi="Calibri"/>
                <w:b/>
                <w:color w:val="30A46C"/>
                <w:sz w:val="22"/>
              </w:rPr>
              <w:t>+0.3%</w:t>
            </w:r>
          </w:p>
        </w:tc>
        <w:tc>
          <w:tcPr>
            <w:tcW w:type="dxa" w:w="1080"/>
          </w:tcPr>
          <w:p>
            <w:r>
              <w:rPr>
                <w:rFonts w:ascii="Calibri" w:hAnsi="Calibri"/>
                <w:sz w:val="22"/>
              </w:rPr>
              <w:t>$5.7B – $5.9B (midpoint $5.8B)</w:t>
            </w:r>
          </w:p>
        </w:tc>
        <w:tc>
          <w:tcPr>
            <w:tcW w:type="dxa" w:w="1080"/>
          </w:tcPr>
          <w:p>
            <w:r>
              <w:rPr>
                <w:rFonts w:ascii="Calibri" w:hAnsi="Calibri"/>
                <w:sz w:val="22"/>
              </w:rPr>
              <w:t>Unchanged ($5.7–$5.9B)</w:t>
            </w:r>
          </w:p>
        </w:tc>
        <w:tc>
          <w:tcPr>
            <w:tcW w:type="dxa" w:w="1080"/>
          </w:tcPr>
          <w:p>
            <w:r>
              <w:rPr>
                <w:rFonts w:ascii="Calibri" w:hAnsi="Calibri"/>
                <w:sz w:val="22"/>
              </w:rPr>
              <w:t>—</w:t>
            </w:r>
          </w:p>
        </w:tc>
        <w:tc>
          <w:tcPr>
            <w:tcW w:type="dxa" w:w="1080"/>
          </w:tcPr>
          <w:p>
            <w:r>
              <w:rPr>
                <w:rFonts w:ascii="Calibri" w:hAnsi="Calibri"/>
                <w:sz w:val="22"/>
              </w:rPr>
              <w:t>+1.2% above midpoint; near top of range</w:t>
            </w:r>
          </w:p>
        </w:tc>
      </w:tr>
      <w:tr>
        <w:tc>
          <w:tcPr>
            <w:tcW w:type="dxa" w:w="1080"/>
          </w:tcPr>
          <w:p>
            <w:r>
              <w:rPr>
                <w:rFonts w:ascii="Calibri" w:hAnsi="Calibri"/>
                <w:sz w:val="22"/>
              </w:rPr>
              <w:t>EPS (Diluted) — Q2 2026</w:t>
            </w:r>
          </w:p>
        </w:tc>
        <w:tc>
          <w:tcPr>
            <w:tcW w:type="dxa" w:w="1080"/>
          </w:tcPr>
          <w:p>
            <w:r>
              <w:rPr>
                <w:rFonts w:ascii="Calibri" w:hAnsi="Calibri"/>
                <w:sz w:val="22"/>
              </w:rPr>
              <w:t>$2.75</w:t>
            </w:r>
          </w:p>
        </w:tc>
        <w:tc>
          <w:tcPr>
            <w:tcW w:type="dxa" w:w="1080"/>
          </w:tcPr>
          <w:p>
            <w:r>
              <w:rPr>
                <w:rFonts w:ascii="Calibri" w:hAnsi="Calibri"/>
                <w:sz w:val="22"/>
              </w:rPr>
              <w:t>$2.80</w:t>
            </w:r>
          </w:p>
        </w:tc>
        <w:tc>
          <w:tcPr>
            <w:tcW w:type="dxa" w:w="1080"/>
          </w:tcPr>
          <w:p>
            <w:r>
              <w:rPr>
                <w:rFonts w:ascii="Calibri" w:hAnsi="Calibri"/>
                <w:b/>
                <w:color w:val="30A46C"/>
                <w:sz w:val="22"/>
              </w:rPr>
              <w:t>+1.8%</w:t>
            </w:r>
          </w:p>
        </w:tc>
        <w:tc>
          <w:tcPr>
            <w:tcW w:type="dxa" w:w="1080"/>
          </w:tcPr>
          <w:p>
            <w:r>
              <w:rPr>
                <w:rFonts w:ascii="Calibri" w:hAnsi="Calibri"/>
                <w:sz w:val="22"/>
              </w:rPr>
              <w:t>No Q2-specific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 FY 2026</w:t>
            </w:r>
          </w:p>
        </w:tc>
        <w:tc>
          <w:tcPr>
            <w:tcW w:type="dxa" w:w="1080"/>
          </w:tcPr>
          <w:p>
            <w:r>
              <w:rPr>
                <w:rFonts w:ascii="Calibri" w:hAnsi="Calibri"/>
                <w:sz w:val="22"/>
              </w:rPr>
              <w:t>$10.77</w:t>
            </w:r>
          </w:p>
        </w:tc>
        <w:tc>
          <w:tcPr>
            <w:tcW w:type="dxa" w:w="1080"/>
          </w:tcPr>
          <w:p>
            <w:r>
              <w:rPr>
                <w:rFonts w:ascii="Calibri" w:hAnsi="Calibri"/>
                <w:sz w:val="22"/>
              </w:rPr>
              <w:t>$10.73</w:t>
            </w:r>
          </w:p>
        </w:tc>
        <w:tc>
          <w:tcPr>
            <w:tcW w:type="dxa" w:w="1080"/>
          </w:tcPr>
          <w:p>
            <w:r>
              <w:rPr>
                <w:rFonts w:ascii="Calibri" w:hAnsi="Calibri"/>
                <w:b/>
                <w:color w:val="E5484D"/>
                <w:sz w:val="22"/>
              </w:rPr>
              <w:t>-0.4%</w:t>
            </w:r>
          </w:p>
        </w:tc>
        <w:tc>
          <w:tcPr>
            <w:tcW w:type="dxa" w:w="1080"/>
          </w:tcPr>
          <w:p>
            <w:r>
              <w:rPr>
                <w:rFonts w:ascii="Calibri" w:hAnsi="Calibri"/>
                <w:sz w:val="22"/>
              </w:rPr>
              <w:t>No FY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Permian Gas Inlet Vol. — Q2 2026 (MMcf)</w:t>
            </w:r>
          </w:p>
        </w:tc>
        <w:tc>
          <w:tcPr>
            <w:tcW w:type="dxa" w:w="1080"/>
          </w:tcPr>
          <w:p>
            <w:r>
              <w:rPr>
                <w:rFonts w:ascii="Calibri" w:hAnsi="Calibri"/>
                <w:sz w:val="22"/>
              </w:rPr>
              <w:t>6,994,930</w:t>
            </w:r>
          </w:p>
        </w:tc>
        <w:tc>
          <w:tcPr>
            <w:tcW w:type="dxa" w:w="1080"/>
          </w:tcPr>
          <w:p>
            <w:r>
              <w:rPr>
                <w:rFonts w:ascii="Calibri" w:hAnsi="Calibri"/>
                <w:sz w:val="22"/>
              </w:rPr>
              <w:t>7,033,960</w:t>
            </w:r>
          </w:p>
        </w:tc>
        <w:tc>
          <w:tcPr>
            <w:tcW w:type="dxa" w:w="1080"/>
          </w:tcPr>
          <w:p>
            <w:r>
              <w:rPr>
                <w:rFonts w:ascii="Calibri" w:hAnsi="Calibri"/>
                <w:b/>
                <w:color w:val="30A46C"/>
                <w:sz w:val="22"/>
              </w:rPr>
              <w:t>+0.6%</w:t>
            </w:r>
          </w:p>
        </w:tc>
        <w:tc>
          <w:tcPr>
            <w:tcW w:type="dxa" w:w="1080"/>
          </w:tcPr>
          <w:p>
            <w:r>
              <w:rPr>
                <w:rFonts w:ascii="Calibri" w:hAnsi="Calibri"/>
                <w:sz w:val="22"/>
              </w:rPr>
              <w:t>"Trending significantly higher" vs. Q1; low double-digit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consistent with mgmt. commentary</w:t>
            </w:r>
          </w:p>
        </w:tc>
      </w:tr>
      <w:tr>
        <w:tc>
          <w:tcPr>
            <w:tcW w:type="dxa" w:w="1080"/>
          </w:tcPr>
          <w:p>
            <w:r>
              <w:rPr>
                <w:rFonts w:ascii="Calibri" w:hAnsi="Calibri"/>
                <w:sz w:val="22"/>
              </w:rPr>
              <w:t>LPG Export Vol. — Q2 2026 (MBbl/d)</w:t>
            </w:r>
          </w:p>
        </w:tc>
        <w:tc>
          <w:tcPr>
            <w:tcW w:type="dxa" w:w="1080"/>
          </w:tcPr>
          <w:p>
            <w:r>
              <w:rPr>
                <w:rFonts w:ascii="Calibri" w:hAnsi="Calibri"/>
                <w:sz w:val="22"/>
              </w:rPr>
              <w:t>455,183</w:t>
            </w:r>
          </w:p>
        </w:tc>
        <w:tc>
          <w:tcPr>
            <w:tcW w:type="dxa" w:w="1080"/>
          </w:tcPr>
          <w:p>
            <w:r>
              <w:rPr>
                <w:rFonts w:ascii="Calibri" w:hAnsi="Calibri"/>
                <w:sz w:val="22"/>
              </w:rPr>
              <w:t>467,682</w:t>
            </w:r>
          </w:p>
        </w:tc>
        <w:tc>
          <w:tcPr>
            <w:tcW w:type="dxa" w:w="1080"/>
          </w:tcPr>
          <w:p>
            <w:r>
              <w:rPr>
                <w:rFonts w:ascii="Calibri" w:hAnsi="Calibri"/>
                <w:b/>
                <w:color w:val="30A46C"/>
                <w:sz w:val="22"/>
              </w:rPr>
              <w:t>+2.7%</w:t>
            </w:r>
          </w:p>
        </w:tc>
        <w:tc>
          <w:tcPr>
            <w:tcW w:type="dxa" w:w="1080"/>
          </w:tcPr>
          <w:p>
            <w:r>
              <w:rPr>
                <w:rFonts w:ascii="Calibri" w:hAnsi="Calibri"/>
                <w:sz w:val="22"/>
              </w:rPr>
              <w:t>"Record Targa loadings in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may still be below mgmt. "record" guidance; upside risk</w:t>
            </w:r>
          </w:p>
        </w:tc>
      </w:tr>
    </w:tbl>
    <w:p>
      <w:r>
        <w:rPr>
          <w:rFonts w:ascii="Calibri" w:hAnsi="Calibri"/>
          <w:color w:val="525866"/>
          <w:sz w:val="22"/>
        </w:rPr>
        <w:t>Source: Visible Alpha Consensus and Actuals Data. Post-Q1 baseline uses consensus as of approximately May 14, 2026 (5 trading days after May 7 earnings). Estimate revisions are tracking with guidance rather than diverging, and the FY 2026 consensus near the top of the guidance range suggests the street is giving partial credit to management's conservative framing of back-half marketing upside.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TRGP has modestly outperformed XLE since the Q1 print but lagged the S&amp;P 500; the 12-month +58% move was driven roughly equally by multiple expansion (+20% on EV/EBITDA) and earnings growth, but the 1-month trend shows slight multiple compression (-1.5% on EV/EBITDA) as the stock pulled back ~5% from its late-July peak.</w:t>
      </w:r>
    </w:p>
    <w:p>
      <w:r>
        <w:rPr>
          <w:rFonts w:ascii="Calibri" w:hAnsi="Calibri"/>
          <w:color w:val="525866"/>
          <w:sz w:val="22"/>
        </w:rPr>
        <w:t xml:space="preserve">Since the Q1 2026 earnings date (May 7, 2026), TRGP closed at $252.44 on the earnings day and traded to a high of ~$285.58 on July 23 before pulling back to ~$260.11 by August 6 (earnings day). Over the same period, XLE moved from $55.95 to $57.31 (+2.4%) and SPY from $731.58 to $769.79 (+5.2%). TRGP's indexed return since May 7 is approximately </w:t>
      </w:r>
      <w:r>
        <w:rPr>
          <w:rFonts w:ascii="Calibri" w:hAnsi="Calibri"/>
          <w:b/>
          <w:color w:val="525866"/>
          <w:sz w:val="22"/>
        </w:rPr>
        <w:t>+3.0%</w:t>
      </w:r>
      <w:r>
        <w:rPr>
          <w:rFonts w:ascii="Calibri" w:hAnsi="Calibri"/>
          <w:color w:val="525866"/>
          <w:sz w:val="22"/>
        </w:rPr>
        <w:t xml:space="preserve"> vs. XLE +2.4% and SPY +5.2%, reflecting modest midstream outperformance vs. the energy sector but underperformance vs. the broader market. The stock's peak in late July coincided with Brent crude crossing $100/bbl on Houthi tanker strikes, which boosted energy sentiment broadly. The subsequent pullback reflects oil price volatility as U.S.-Iran ceasefire hopes emerged. On a 12-month basis, TRGP is up ~+58%, driven by both multiple expansion (EV/EBITDA expanded from ~10.2x to ~12.2x, +20%) and strong EBITDA growth. The sector ETF used is </w:t>
      </w:r>
      <w:r>
        <w:rPr>
          <w:rFonts w:ascii="Calibri" w:hAnsi="Calibri"/>
          <w:b/>
          <w:color w:val="525866"/>
          <w:sz w:val="22"/>
        </w:rPr>
        <w:t>XLE (Energy Select Sector SPDR)</w:t>
      </w:r>
      <w:r>
        <w:rPr>
          <w:rFonts w:ascii="Calibri" w:hAnsi="Calibri"/>
          <w:color w:val="525866"/>
          <w:sz w:val="22"/>
        </w:rPr>
        <w:t>, which captures TRGP's broad energy sector context; note TRGP is a midstream name and XLE is weighted toward E&amp;P/integrated majors, so divergence is expected when commodity prices move sharply. Source: Stock Price Data (Yahoo Finance).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Horizon</w:t>
            </w:r>
          </w:p>
        </w:tc>
        <w:tc>
          <w:tcPr>
            <w:tcW w:type="dxa" w:w="1728"/>
            <w:shd w:val="clear" w:color="auto" w:fill="3B4259"/>
          </w:tcPr>
          <w:p>
            <w:r>
              <w:rPr>
                <w:rFonts w:ascii="Calibri" w:hAnsi="Calibri"/>
                <w:b/>
                <w:color w:val="FFFFFF"/>
                <w:sz w:val="22"/>
              </w:rPr>
              <w:t>TRGP Price Return</w:t>
            </w:r>
          </w:p>
        </w:tc>
        <w:tc>
          <w:tcPr>
            <w:tcW w:type="dxa" w:w="1728"/>
            <w:shd w:val="clear" w:color="auto" w:fill="3B4259"/>
          </w:tcPr>
          <w:p>
            <w:r>
              <w:rPr>
                <w:rFonts w:ascii="Calibri" w:hAnsi="Calibri"/>
                <w:b/>
                <w:color w:val="FFFFFF"/>
                <w:sz w:val="22"/>
              </w:rPr>
              <w:t>Primary Driver (EV/EBITDA)</w:t>
            </w:r>
          </w:p>
        </w:tc>
        <w:tc>
          <w:tcPr>
            <w:tcW w:type="dxa" w:w="1728"/>
            <w:shd w:val="clear" w:color="auto" w:fill="3B4259"/>
          </w:tcPr>
          <w:p>
            <w:r>
              <w:rPr>
                <w:rFonts w:ascii="Calibri" w:hAnsi="Calibri"/>
                <w:b/>
                <w:color w:val="FFFFFF"/>
                <w:sz w:val="22"/>
              </w:rPr>
              <w:t>Multiple Change</w:t>
            </w:r>
          </w:p>
        </w:tc>
        <w:tc>
          <w:tcPr>
            <w:tcW w:type="dxa" w:w="1728"/>
            <w:shd w:val="clear" w:color="auto" w:fill="3B4259"/>
          </w:tcPr>
          <w:p>
            <w:r>
              <w:rPr>
                <w:rFonts w:ascii="Calibri" w:hAnsi="Calibri"/>
                <w:b/>
                <w:color w:val="FFFFFF"/>
                <w:sz w:val="22"/>
              </w:rPr>
              <w:t>Implied Earnings Contribution</w:t>
            </w:r>
          </w:p>
        </w:tc>
      </w:tr>
      <w:tr>
        <w:tc>
          <w:tcPr>
            <w:tcW w:type="dxa" w:w="1728"/>
          </w:tcPr>
          <w:p>
            <w:r>
              <w:rPr>
                <w:rFonts w:ascii="Calibri" w:hAnsi="Calibri"/>
                <w:sz w:val="22"/>
              </w:rPr>
              <w:t>1 Month</w:t>
            </w:r>
          </w:p>
        </w:tc>
        <w:tc>
          <w:tcPr>
            <w:tcW w:type="dxa" w:w="1728"/>
          </w:tcPr>
          <w:p>
            <w:r>
              <w:rPr>
                <w:rFonts w:ascii="Calibri" w:hAnsi="Calibri"/>
                <w:sz w:val="22"/>
              </w:rPr>
              <w:t>-5.0%</w:t>
            </w:r>
          </w:p>
        </w:tc>
        <w:tc>
          <w:tcPr>
            <w:tcW w:type="dxa" w:w="1728"/>
          </w:tcPr>
          <w:p>
            <w:r>
              <w:rPr>
                <w:rFonts w:ascii="Calibri" w:hAnsi="Calibri"/>
                <w:sz w:val="22"/>
              </w:rPr>
              <w:t>Multiple compression</w:t>
            </w:r>
          </w:p>
        </w:tc>
        <w:tc>
          <w:tcPr>
            <w:tcW w:type="dxa" w:w="1728"/>
          </w:tcPr>
          <w:p>
            <w:r>
              <w:rPr>
                <w:rFonts w:ascii="Calibri" w:hAnsi="Calibri"/>
                <w:sz w:val="22"/>
              </w:rPr>
              <w:t>-1.5%</w:t>
            </w:r>
          </w:p>
        </w:tc>
        <w:tc>
          <w:tcPr>
            <w:tcW w:type="dxa" w:w="1728"/>
          </w:tcPr>
          <w:p>
            <w:r>
              <w:rPr>
                <w:rFonts w:ascii="Calibri" w:hAnsi="Calibri"/>
                <w:sz w:val="22"/>
              </w:rPr>
              <w:t>~-3.5% (estimate drift)</w:t>
            </w:r>
          </w:p>
        </w:tc>
      </w:tr>
      <w:tr>
        <w:tc>
          <w:tcPr>
            <w:tcW w:type="dxa" w:w="1728"/>
          </w:tcPr>
          <w:p>
            <w:r>
              <w:rPr>
                <w:rFonts w:ascii="Calibri" w:hAnsi="Calibri"/>
                <w:sz w:val="22"/>
              </w:rPr>
              <w:t>3 Months</w:t>
            </w:r>
          </w:p>
        </w:tc>
        <w:tc>
          <w:tcPr>
            <w:tcW w:type="dxa" w:w="1728"/>
          </w:tcPr>
          <w:p>
            <w:r>
              <w:rPr>
                <w:rFonts w:ascii="Calibri" w:hAnsi="Calibri"/>
                <w:sz w:val="22"/>
              </w:rPr>
              <w:t>+0.2%</w:t>
            </w:r>
          </w:p>
        </w:tc>
        <w:tc>
          <w:tcPr>
            <w:tcW w:type="dxa" w:w="1728"/>
          </w:tcPr>
          <w:p>
            <w:r>
              <w:rPr>
                <w:rFonts w:ascii="Calibri" w:hAnsi="Calibri"/>
                <w:sz w:val="22"/>
              </w:rPr>
              <w:t>Multiple compression offset by earnings</w:t>
            </w:r>
          </w:p>
        </w:tc>
        <w:tc>
          <w:tcPr>
            <w:tcW w:type="dxa" w:w="1728"/>
          </w:tcPr>
          <w:p>
            <w:r>
              <w:rPr>
                <w:rFonts w:ascii="Calibri" w:hAnsi="Calibri"/>
                <w:sz w:val="22"/>
              </w:rPr>
              <w:t>-3.8%</w:t>
            </w:r>
          </w:p>
        </w:tc>
        <w:tc>
          <w:tcPr>
            <w:tcW w:type="dxa" w:w="1728"/>
          </w:tcPr>
          <w:p>
            <w:r>
              <w:rPr>
                <w:rFonts w:ascii="Calibri" w:hAnsi="Calibri"/>
                <w:sz w:val="22"/>
              </w:rPr>
              <w:t>~+4.0%</w:t>
            </w:r>
          </w:p>
        </w:tc>
      </w:tr>
      <w:tr>
        <w:tc>
          <w:tcPr>
            <w:tcW w:type="dxa" w:w="1728"/>
          </w:tcPr>
          <w:p>
            <w:r>
              <w:rPr>
                <w:rFonts w:ascii="Calibri" w:hAnsi="Calibri"/>
                <w:sz w:val="22"/>
              </w:rPr>
              <w:t>6 Months</w:t>
            </w:r>
          </w:p>
        </w:tc>
        <w:tc>
          <w:tcPr>
            <w:tcW w:type="dxa" w:w="1728"/>
          </w:tcPr>
          <w:p>
            <w:r>
              <w:rPr>
                <w:rFonts w:ascii="Calibri" w:hAnsi="Calibri"/>
                <w:sz w:val="22"/>
              </w:rPr>
              <w:t>+27.8%</w:t>
            </w:r>
          </w:p>
        </w:tc>
        <w:tc>
          <w:tcPr>
            <w:tcW w:type="dxa" w:w="1728"/>
          </w:tcPr>
          <w:p>
            <w:r>
              <w:rPr>
                <w:rFonts w:ascii="Calibri" w:hAnsi="Calibri"/>
                <w:sz w:val="22"/>
              </w:rPr>
              <w:t>Multiple expansion + earnings growth</w:t>
            </w:r>
          </w:p>
        </w:tc>
        <w:tc>
          <w:tcPr>
            <w:tcW w:type="dxa" w:w="1728"/>
          </w:tcPr>
          <w:p>
            <w:r>
              <w:rPr>
                <w:rFonts w:ascii="Calibri" w:hAnsi="Calibri"/>
                <w:sz w:val="22"/>
              </w:rPr>
              <w:t>+12.7%</w:t>
            </w:r>
          </w:p>
        </w:tc>
        <w:tc>
          <w:tcPr>
            <w:tcW w:type="dxa" w:w="1728"/>
          </w:tcPr>
          <w:p>
            <w:r>
              <w:rPr>
                <w:rFonts w:ascii="Calibri" w:hAnsi="Calibri"/>
                <w:sz w:val="22"/>
              </w:rPr>
              <w:t>~+15.1%</w:t>
            </w:r>
          </w:p>
        </w:tc>
      </w:tr>
      <w:tr>
        <w:tc>
          <w:tcPr>
            <w:tcW w:type="dxa" w:w="1728"/>
          </w:tcPr>
          <w:p>
            <w:r>
              <w:rPr>
                <w:rFonts w:ascii="Calibri" w:hAnsi="Calibri"/>
                <w:sz w:val="22"/>
              </w:rPr>
              <w:t>12 Months</w:t>
            </w:r>
          </w:p>
        </w:tc>
        <w:tc>
          <w:tcPr>
            <w:tcW w:type="dxa" w:w="1728"/>
          </w:tcPr>
          <w:p>
            <w:r>
              <w:rPr>
                <w:rFonts w:ascii="Calibri" w:hAnsi="Calibri"/>
                <w:sz w:val="22"/>
              </w:rPr>
              <w:t>+57.8%</w:t>
            </w:r>
          </w:p>
        </w:tc>
        <w:tc>
          <w:tcPr>
            <w:tcW w:type="dxa" w:w="1728"/>
          </w:tcPr>
          <w:p>
            <w:r>
              <w:rPr>
                <w:rFonts w:ascii="Calibri" w:hAnsi="Calibri"/>
                <w:sz w:val="22"/>
              </w:rPr>
              <w:t>Both multiple expansion and earnings</w:t>
            </w:r>
          </w:p>
        </w:tc>
        <w:tc>
          <w:tcPr>
            <w:tcW w:type="dxa" w:w="1728"/>
          </w:tcPr>
          <w:p>
            <w:r>
              <w:rPr>
                <w:rFonts w:ascii="Calibri" w:hAnsi="Calibri"/>
                <w:sz w:val="22"/>
              </w:rPr>
              <w:t>+19.6%</w:t>
            </w:r>
          </w:p>
        </w:tc>
        <w:tc>
          <w:tcPr>
            <w:tcW w:type="dxa" w:w="1728"/>
          </w:tcPr>
          <w:p>
            <w:r>
              <w:rPr>
                <w:rFonts w:ascii="Calibri" w:hAnsi="Calibri"/>
                <w:sz w:val="22"/>
              </w:rPr>
              <w:t>~+38.2%</w:t>
            </w:r>
          </w:p>
        </w:tc>
      </w:tr>
    </w:tbl>
    <w:p>
      <w:r>
        <w:rPr>
          <w:rFonts w:ascii="Calibri" w:hAnsi="Calibri"/>
          <w:color w:val="525866"/>
          <w:sz w:val="22"/>
        </w:rPr>
        <w:t>Source: Stock Price Data (Yahoo Finance); Stock Performance Decomposition (NTM EV/EBITDA multiples).</w:t>
      </w:r>
    </w:p>
    <w:p>
      <w:r>
        <w:br w:type="page"/>
      </w:r>
    </w:p>
    <w:p>
      <w:pPr>
        <w:pStyle w:val="Heading2"/>
      </w:pPr>
      <w:r>
        <w:rPr>
          <w:rFonts w:ascii="Calibri" w:hAnsi="Calibri"/>
          <w:b/>
          <w:color w:val="3B4259"/>
          <w:sz w:val="28"/>
        </w:rPr>
        <w:t>6. Material News &amp; Developments (Since May 7, 2026)</w:t>
      </w:r>
    </w:p>
    <w:p>
      <w:r>
        <w:rPr>
          <w:rFonts w:ascii="Calibri" w:hAnsi="Calibri"/>
          <w:b/>
          <w:color w:val="525866"/>
          <w:sz w:val="22"/>
        </w:rPr>
        <w:t xml:space="preserve">Key Takeaway: </w:t>
      </w:r>
      <w:r>
        <w:rPr>
          <w:rFonts w:ascii="Calibri" w:hAnsi="Calibri"/>
          <w:color w:val="525866"/>
          <w:sz w:val="22"/>
        </w:rPr>
        <w:t>The most important post-Q1 development is the Iran conflict-driven surge in LPG export demand and oil prices, which directly benefits TRGP's marketing/optimization margin and LPG export volumes; the board appointment of a former ConocoPhillips gas executive adds strategic credibility to the LPG/international growth thesis.</w:t>
      </w:r>
    </w:p>
    <w:p>
      <w:pPr>
        <w:pStyle w:val="ListBullet"/>
        <w:ind w:left="360" w:hanging="360"/>
      </w:pPr>
      <w:r>
        <w:rPr>
          <w:rFonts w:ascii="Calibri" w:hAnsi="Calibri"/>
          <w:b/>
          <w:color w:val="525866"/>
          <w:sz w:val="22"/>
        </w:rPr>
        <w:t>July 23, 2026 — Brent crude crosses $100/bbl</w:t>
      </w:r>
      <w:r>
        <w:rPr>
          <w:rFonts w:ascii="Calibri" w:hAnsi="Calibri"/>
          <w:color w:val="525866"/>
          <w:sz w:val="22"/>
        </w:rPr>
        <w:t xml:space="preserve"> for the first time since late May after Houthi strikes on Saudi oil tankers in the Red Sea opened a second chokepoint alongside Strait of Hormuz disruptions. Implication: Higher commodity prices and wider basis spreads directly benefit TRGP's marketing/optimization margin and create incremental butane demand for LPG exports.</w:t>
      </w:r>
    </w:p>
    <w:p>
      <w:pPr>
        <w:pStyle w:val="ListBullet"/>
        <w:ind w:left="360" w:hanging="360"/>
      </w:pPr>
      <w:r>
        <w:rPr>
          <w:rFonts w:ascii="Calibri" w:hAnsi="Calibri"/>
          <w:b/>
          <w:color w:val="525866"/>
          <w:sz w:val="22"/>
        </w:rPr>
        <w:t>July 16, 2026 — Q2 2026 dividend declared at $1.25/share ($5.00 annualized)</w:t>
      </w:r>
      <w:r>
        <w:rPr>
          <w:rFonts w:ascii="Calibri" w:hAnsi="Calibri"/>
          <w:color w:val="525866"/>
          <w:sz w:val="22"/>
        </w:rPr>
        <w:t>; payable August 14, 2026 to holders of record July 31, 2026. Confirms the 25% dividend increase from Q1 2025 is sustained. Earnings webcast confirmed for August 6, 2026 at 11:00 a.m. ET.</w:t>
      </w:r>
    </w:p>
    <w:p>
      <w:pPr>
        <w:pStyle w:val="ListBullet"/>
        <w:ind w:left="360" w:hanging="360"/>
      </w:pPr>
      <w:r>
        <w:rPr>
          <w:rFonts w:ascii="Calibri" w:hAnsi="Calibri"/>
          <w:b/>
          <w:color w:val="525866"/>
          <w:sz w:val="22"/>
        </w:rPr>
        <w:t>July 17, 2026 — Board appointment: Thomas Mathiasmeier</w:t>
      </w:r>
      <w:r>
        <w:rPr>
          <w:rFonts w:ascii="Calibri" w:hAnsi="Calibri"/>
          <w:color w:val="525866"/>
          <w:sz w:val="22"/>
        </w:rPr>
        <w:t xml:space="preserve"> (former President, Global Gas, Power &amp; Emerging Markets at ConocoPhillips) appointed as Class II Director and Audit Committee member. Implication: Adds deep LNG/international gas commercial expertise to the board at a time when TRGP is expanding LPG export capacity and pursuing long-term international demand contracts.</w:t>
      </w:r>
    </w:p>
    <w:p>
      <w:pPr>
        <w:pStyle w:val="ListBullet"/>
        <w:ind w:left="360" w:hanging="360"/>
      </w:pPr>
      <w:r>
        <w:rPr>
          <w:rFonts w:ascii="Calibri" w:hAnsi="Calibri"/>
          <w:b/>
          <w:color w:val="525866"/>
          <w:sz w:val="22"/>
        </w:rPr>
        <w:t>July 6, 2026 — Receivables securitization facility extended and upsized</w:t>
      </w:r>
      <w:r>
        <w:rPr>
          <w:rFonts w:ascii="Calibri" w:hAnsi="Calibri"/>
          <w:color w:val="525866"/>
          <w:sz w:val="22"/>
        </w:rPr>
        <w:t>: Targa extended its accounts receivable securitization facility termination date to July 30, 2027 and added a $200M uncommitted line (Seventeenth Amendment to Receivables Purchase Agreement). As of July 1, ~$451M outstanding. Implication: Routine liquidity management; no credit concern, but confirms active balance sheet optimization.</w:t>
      </w:r>
    </w:p>
    <w:p>
      <w:pPr>
        <w:pStyle w:val="ListBullet"/>
        <w:ind w:left="360" w:hanging="360"/>
      </w:pPr>
      <w:r>
        <w:rPr>
          <w:rFonts w:ascii="Calibri" w:hAnsi="Calibri"/>
          <w:b/>
          <w:color w:val="525866"/>
          <w:sz w:val="22"/>
        </w:rPr>
        <w:t>August 3–4, 2026 — Midstream peers (WMB, OKE, ET, MPLX) report Q2 2026 results</w:t>
      </w:r>
      <w:r>
        <w:rPr>
          <w:rFonts w:ascii="Calibri" w:hAnsi="Calibri"/>
          <w:color w:val="525866"/>
          <w:sz w:val="22"/>
        </w:rPr>
        <w:t>: All four reported strong results and raised or maintained full-year guidance, citing robust Permian volume growth, improving Waha basis (ET noted Waha "narrowed quicker than we thought"), and strong NGL/LPG export demand. OKE noted July and August NGL volumes are running above expectations following Waha-Katy spread normalization. Implication: Broad midstream sector tailwinds heading into TRGP's print.</w:t>
      </w:r>
    </w:p>
    <w:p>
      <w:pPr>
        <w:pStyle w:val="ListBullet"/>
        <w:ind w:left="360" w:hanging="360"/>
      </w:pPr>
      <w:r>
        <w:rPr>
          <w:rFonts w:ascii="Calibri" w:hAnsi="Calibri"/>
          <w:b/>
          <w:color w:val="525866"/>
          <w:sz w:val="22"/>
        </w:rPr>
        <w:t>July 22, 2026 — KMI reports Q2 2026 results</w:t>
      </w:r>
      <w:r>
        <w:rPr>
          <w:rFonts w:ascii="Calibri" w:hAnsi="Calibri"/>
          <w:color w:val="525866"/>
          <w:sz w:val="22"/>
        </w:rPr>
        <w:t>: Beat consensus; raised full-year EBITDA guidance by at least 5% above budget. GCC expansion "pretty much was full" immediately upon commissioning. Implication: Permian egress demand remains insatiable; validates TRGP's volume growth thesis.</w:t>
      </w:r>
    </w:p>
    <w:p>
      <w:pPr>
        <w:pStyle w:val="ListBullet"/>
        <w:ind w:left="360" w:hanging="360"/>
      </w:pPr>
      <w:r>
        <w:rPr>
          <w:rFonts w:ascii="Calibri" w:hAnsi="Calibri"/>
          <w:b/>
          <w:color w:val="525866"/>
          <w:sz w:val="22"/>
        </w:rPr>
        <w:t>June 28, 2026 — Williams (WMB) in advanced talks to acquire Momentum Midstream for ~$5.5B</w:t>
      </w:r>
      <w:r>
        <w:rPr>
          <w:rFonts w:ascii="Calibri" w:hAnsi="Calibri"/>
          <w:color w:val="525866"/>
          <w:sz w:val="22"/>
        </w:rPr>
        <w:t xml:space="preserve"> (Haynesville-focused). Implication: Sector M&amp;A activity signals confidence in long-term natural gas infrastructure demand; no direct TRGP impact but supportive of midstream valuations.</w:t>
      </w:r>
    </w:p>
    <w:p>
      <w:pPr>
        <w:pStyle w:val="ListBullet"/>
        <w:ind w:left="360" w:hanging="360"/>
      </w:pPr>
      <w:r>
        <w:rPr>
          <w:rFonts w:ascii="Calibri" w:hAnsi="Calibri"/>
          <w:b/>
          <w:color w:val="525866"/>
          <w:sz w:val="22"/>
        </w:rPr>
        <w:t>May 7, 2026 — Q1 2026 earnings: Record EBITDA, Permian volumes, and fractionation volumes</w:t>
      </w:r>
      <w:r>
        <w:rPr>
          <w:rFonts w:ascii="Calibri" w:hAnsi="Calibri"/>
          <w:color w:val="525866"/>
          <w:sz w:val="22"/>
        </w:rPr>
        <w:t>; FY 2026 EBITDA guidance raised to $5.7–$5.9B (midpoint +$300M vs. February guidance); two new Delaware Basin processing plants announced (Roadrunner III, 265 MMcf/d; Copperhead II, 275 MMcf/d; both targeting Q1 2028 service); Train 11 fractionator came online early in Q2; Delaware Express NGL pipeline entered startup.</w:t>
      </w:r>
    </w:p>
    <w:p>
      <w:r>
        <w:br w:type="page"/>
      </w:r>
    </w:p>
    <w:p>
      <w:pPr>
        <w:pStyle w:val="Heading2"/>
      </w:pPr>
      <w:r>
        <w:rPr>
          <w:rFonts w:ascii="Calibri" w:hAnsi="Calibri"/>
          <w:b/>
          <w:color w:val="3B4259"/>
          <w:sz w:val="28"/>
        </w:rPr>
        <w:t>7. Peer Commentaries — Current-Quarter Read-Through (Last 60 Days)</w:t>
      </w:r>
    </w:p>
    <w:p>
      <w:r>
        <w:rPr>
          <w:rFonts w:ascii="Calibri" w:hAnsi="Calibri"/>
          <w:b/>
          <w:color w:val="525866"/>
          <w:sz w:val="22"/>
        </w:rPr>
        <w:t xml:space="preserve">Key Takeaway: </w:t>
      </w:r>
      <w:r>
        <w:rPr>
          <w:rFonts w:ascii="Calibri" w:hAnsi="Calibri"/>
          <w:color w:val="525866"/>
          <w:sz w:val="22"/>
        </w:rPr>
        <w:t>Peer Q2 2026 earnings calls (reported July 22 – August 4) are uniformly constructive for TRGP's Q2 setup: Waha basis is normalizing faster than expected, Permian NGL volumes are surging as shut-in gas comes back online, LPG/NGL export demand remains robust, and marketing/optimization opportunities persist. The one nuance is that narrowing Waha differentials in H2 2026 will reduce basis-trading upside — a headwind TRGP already flagged in its own guidance.</w:t>
      </w:r>
    </w:p>
    <w:p>
      <w:r>
        <w:rPr>
          <w:rFonts w:ascii="Calibri" w:hAnsi="Calibri"/>
          <w:color w:val="525866"/>
          <w:sz w:val="22"/>
        </w:rPr>
        <w:t>Note: Only forward-looking commentary from peer Q2 2026 earnings calls (July–August 2026) and other post-May 7 events is included below. Backward-looking commentary about completed quarters is excluded.</w:t>
      </w:r>
    </w:p>
    <w:p>
      <w:pPr>
        <w:pStyle w:val="Heading3"/>
      </w:pPr>
      <w:r>
        <w:rPr>
          <w:rFonts w:ascii="Calibri" w:hAnsi="Calibri"/>
          <w:b/>
          <w:color w:val="3B4259"/>
          <w:sz w:val="24"/>
        </w:rPr>
        <w:t>Energy Transfer (ET) — Q2 2026 Earnings Call, August 4, 2026</w:t>
      </w:r>
    </w:p>
    <w:p>
      <w:pPr>
        <w:pStyle w:val="ListBullet"/>
        <w:ind w:left="360" w:hanging="360"/>
      </w:pPr>
      <w:r>
        <w:rPr>
          <w:rFonts w:ascii="Calibri" w:hAnsi="Calibri"/>
          <w:b/>
          <w:color w:val="525866"/>
          <w:sz w:val="22"/>
        </w:rPr>
        <w:t xml:space="preserve">Waha basis normalizing faster than expected: </w:t>
      </w:r>
      <w:r>
        <w:rPr>
          <w:rFonts w:ascii="Calibri" w:hAnsi="Calibri"/>
          <w:color w:val="525866"/>
          <w:sz w:val="22"/>
        </w:rPr>
        <w:t xml:space="preserve">Co-CEO Mackie McCrea stated Waha basis "probably has narrowed quicker than we thought," and that with Hugh Brinson pipeline now in commercial service (Phase 1: 1.5 Bcf/d, full capacity by September 1, 2026), "things are going to get better and that's already proven itself." </w:t>
      </w:r>
      <w:r>
        <w:rPr>
          <w:rFonts w:ascii="Calibri" w:hAnsi="Calibri"/>
          <w:b/>
          <w:color w:val="30A46C"/>
          <w:sz w:val="22"/>
        </w:rPr>
        <w:t>TRGP read-through: Positive.</w:t>
      </w:r>
      <w:r>
        <w:rPr>
          <w:rFonts w:ascii="Calibri" w:hAnsi="Calibri"/>
          <w:color w:val="525866"/>
          <w:sz w:val="22"/>
        </w:rPr>
        <w:t xml:space="preserve"> Faster Waha normalization means producer shut-ins that weighed on Q1 Permian volumes are reversing, supporting TRGP's Q2 volume ramp. Management had already guided Q2 Permian volumes "significantly higher" than Q1.</w:t>
      </w:r>
    </w:p>
    <w:p>
      <w:pPr>
        <w:pStyle w:val="ListBullet"/>
        <w:ind w:left="360" w:hanging="360"/>
      </w:pPr>
      <w:r>
        <w:rPr>
          <w:rFonts w:ascii="Calibri" w:hAnsi="Calibri"/>
          <w:b/>
          <w:color w:val="525866"/>
          <w:sz w:val="22"/>
        </w:rPr>
        <w:t xml:space="preserve">Pent-up Permian volume set to "unleash": </w:t>
      </w:r>
      <w:r>
        <w:rPr>
          <w:rFonts w:ascii="Calibri" w:hAnsi="Calibri"/>
          <w:color w:val="525866"/>
          <w:sz w:val="22"/>
        </w:rPr>
        <w:t xml:space="preserve">McCrea: "There's a lot of pent-up volume, a lot of shut-in gas, a lot of DUCs to bring online and producers have been holding back. And this is really going to unleash production in a big way. On the gas front, in the NGL front, volumes are going to grow exponentially." </w:t>
      </w:r>
      <w:r>
        <w:rPr>
          <w:rFonts w:ascii="Calibri" w:hAnsi="Calibri"/>
          <w:b/>
          <w:color w:val="30A46C"/>
          <w:sz w:val="22"/>
        </w:rPr>
        <w:t>TRGP read-through: Positive.</w:t>
      </w:r>
      <w:r>
        <w:rPr>
          <w:rFonts w:ascii="Calibri" w:hAnsi="Calibri"/>
          <w:color w:val="525866"/>
          <w:sz w:val="22"/>
        </w:rPr>
        <w:t xml:space="preserve"> Directly supports TRGP's low double-digit Permian volume growth thesis for 2026 and validates the Q2 volume ramp.</w:t>
      </w:r>
    </w:p>
    <w:p>
      <w:pPr>
        <w:pStyle w:val="ListBullet"/>
        <w:ind w:left="360" w:hanging="360"/>
      </w:pPr>
      <w:r>
        <w:rPr>
          <w:rFonts w:ascii="Calibri" w:hAnsi="Calibri"/>
          <w:b/>
          <w:color w:val="525866"/>
          <w:sz w:val="22"/>
        </w:rPr>
        <w:t xml:space="preserve">Permian NGL takeaway ~95% utilized: </w:t>
      </w:r>
      <w:r>
        <w:rPr>
          <w:rFonts w:ascii="Calibri" w:hAnsi="Calibri"/>
          <w:color w:val="525866"/>
          <w:sz w:val="22"/>
        </w:rPr>
        <w:t xml:space="preserve">Co-CEO Tom Wong noted "Permian NGL takeaway pipelines are currently approximately 95% utilized." ET signed 300,000 Bbl/d of Y-grade deals in Q2 and is now focused on "expansion at Mont Belvieu and looking at things like potential new fracs, additional new ethane exports." </w:t>
      </w:r>
      <w:r>
        <w:rPr>
          <w:rFonts w:ascii="Calibri" w:hAnsi="Calibri"/>
          <w:b/>
          <w:color w:val="30A46C"/>
          <w:sz w:val="22"/>
        </w:rPr>
        <w:t>TRGP read-through: Positive.</w:t>
      </w:r>
      <w:r>
        <w:rPr>
          <w:rFonts w:ascii="Calibri" w:hAnsi="Calibri"/>
          <w:color w:val="525866"/>
          <w:sz w:val="22"/>
        </w:rPr>
        <w:t xml:space="preserve"> High NGL takeaway utilization confirms strong downstream demand for TRGP's NGL pipeline and fractionation assets.</w:t>
      </w:r>
    </w:p>
    <w:p>
      <w:pPr>
        <w:pStyle w:val="ListBullet"/>
        <w:ind w:left="360" w:hanging="360"/>
      </w:pPr>
      <w:r>
        <w:rPr>
          <w:rFonts w:ascii="Calibri" w:hAnsi="Calibri"/>
          <w:b/>
          <w:color w:val="525866"/>
          <w:sz w:val="22"/>
        </w:rPr>
        <w:t xml:space="preserve">Marketing/optimization upside if volatility persists: </w:t>
      </w:r>
      <w:r>
        <w:rPr>
          <w:rFonts w:ascii="Calibri" w:hAnsi="Calibri"/>
          <w:color w:val="525866"/>
          <w:sz w:val="22"/>
        </w:rPr>
        <w:t xml:space="preserve">CFO Dylan Bramhall: "We don't really have much of that [volatility, wider spreads] in our plan for the back half of the year. The more of this that continues to play out, I think is setting us up to where with some of this volatility, we can very easily achieve that high end of the guidance range." </w:t>
      </w:r>
      <w:r>
        <w:rPr>
          <w:rFonts w:ascii="Calibri" w:hAnsi="Calibri"/>
          <w:b/>
          <w:color w:val="30A46C"/>
          <w:sz w:val="22"/>
        </w:rPr>
        <w:t>TRGP read-through: Positive.</w:t>
      </w:r>
      <w:r>
        <w:rPr>
          <w:rFonts w:ascii="Calibri" w:hAnsi="Calibri"/>
          <w:color w:val="525866"/>
          <w:sz w:val="22"/>
        </w:rPr>
        <w:t xml:space="preserve"> Mirrors TRGP management's own conservative framing of back-half marketing; suggests upside risk to both companies' guidance if commodity volatility persists.</w:t>
      </w:r>
    </w:p>
    <w:p>
      <w:pPr>
        <w:pStyle w:val="ListBullet"/>
        <w:ind w:left="360" w:hanging="360"/>
      </w:pPr>
      <w:r>
        <w:rPr>
          <w:rFonts w:ascii="Calibri" w:hAnsi="Calibri"/>
          <w:b/>
          <w:color w:val="525866"/>
          <w:sz w:val="22"/>
        </w:rPr>
        <w:t xml:space="preserve">ET ethane export expansion (240 MBbl/d, in service 2028–2029): </w:t>
      </w:r>
      <w:r>
        <w:rPr>
          <w:rFonts w:ascii="Calibri" w:hAnsi="Calibri"/>
          <w:color w:val="525866"/>
          <w:sz w:val="22"/>
        </w:rPr>
        <w:t xml:space="preserve">100% of capacity committed under long-term agreements into the 2040s, 80% to markets outside China. </w:t>
      </w:r>
      <w:r>
        <w:rPr>
          <w:rFonts w:ascii="Calibri" w:hAnsi="Calibri"/>
          <w:b/>
          <w:color w:val="30A46C"/>
          <w:sz w:val="22"/>
        </w:rPr>
        <w:t>TRGP read-through: Positive (long-term).</w:t>
      </w:r>
      <w:r>
        <w:rPr>
          <w:rFonts w:ascii="Calibri" w:hAnsi="Calibri"/>
          <w:color w:val="525866"/>
          <w:sz w:val="22"/>
        </w:rPr>
        <w:t xml:space="preserve"> Confirms durable international NGL demand that underpins TRGP's own LPG export expansion (targeting &gt;19 MMBbl/month capacity by Q3 2027).</w:t>
      </w:r>
    </w:p>
    <w:p>
      <w:pPr>
        <w:pStyle w:val="Heading3"/>
      </w:pPr>
      <w:r>
        <w:rPr>
          <w:rFonts w:ascii="Calibri" w:hAnsi="Calibri"/>
          <w:b/>
          <w:color w:val="3B4259"/>
          <w:sz w:val="24"/>
        </w:rPr>
        <w:t>ONEOK (OKE) — Q2 2026 Earnings Call, August 4, 2026</w:t>
      </w:r>
    </w:p>
    <w:p>
      <w:pPr>
        <w:pStyle w:val="ListBullet"/>
        <w:ind w:left="360" w:hanging="360"/>
      </w:pPr>
      <w:r>
        <w:rPr>
          <w:rFonts w:ascii="Calibri" w:hAnsi="Calibri"/>
          <w:b/>
          <w:color w:val="525866"/>
          <w:sz w:val="22"/>
        </w:rPr>
        <w:t xml:space="preserve">Waha-Katy spread normalization driving NGL volume surge: </w:t>
      </w:r>
      <w:r>
        <w:rPr>
          <w:rFonts w:ascii="Calibri" w:hAnsi="Calibri"/>
          <w:color w:val="525866"/>
          <w:sz w:val="22"/>
        </w:rPr>
        <w:t xml:space="preserve">CFO Sheridan Schwartz: "As the Waha-Katy spread came in and Waha became positive, we saw a lot more volume than we had anticipated behind our NGL system. July has been a great month and August is following suit on good uptick in volume on our NGL system." </w:t>
      </w:r>
      <w:r>
        <w:rPr>
          <w:rFonts w:ascii="Calibri" w:hAnsi="Calibri"/>
          <w:b/>
          <w:color w:val="30A46C"/>
          <w:sz w:val="22"/>
        </w:rPr>
        <w:t>TRGP read-through: Positive.</w:t>
      </w:r>
      <w:r>
        <w:rPr>
          <w:rFonts w:ascii="Calibri" w:hAnsi="Calibri"/>
          <w:color w:val="525866"/>
          <w:sz w:val="22"/>
        </w:rPr>
        <w:t xml:space="preserve"> OKE's NGL system is seeing a volume surge in July–August as previously shut-in Permian gas comes back online — a direct read-through for TRGP's Q2 and Q3 NGL pipeline and fractionation volumes.</w:t>
      </w:r>
    </w:p>
    <w:p>
      <w:pPr>
        <w:pStyle w:val="ListBullet"/>
        <w:ind w:left="360" w:hanging="360"/>
      </w:pPr>
      <w:r>
        <w:rPr>
          <w:rFonts w:ascii="Calibri" w:hAnsi="Calibri"/>
          <w:b/>
          <w:color w:val="525866"/>
          <w:sz w:val="22"/>
        </w:rPr>
        <w:t xml:space="preserve">NGL pricing and export demand favorable into Q3: </w:t>
      </w:r>
      <w:r>
        <w:rPr>
          <w:rFonts w:ascii="Calibri" w:hAnsi="Calibri"/>
          <w:color w:val="525866"/>
          <w:sz w:val="22"/>
        </w:rPr>
        <w:t xml:space="preserve">Schwartz: "Higher NGL pricing and export demand continue to support ethane recovery across all regions, and we expect these dynamics to remain favorable into the third quarter." Global NGL demand "remains strong, supported by growing petrochemical demand and continued interest in securing long-term access to reliable U.S. supply." OKE reached 80% contracted threshold for its 200 MBbl/d LPG export capacity under construction. </w:t>
      </w:r>
      <w:r>
        <w:rPr>
          <w:rFonts w:ascii="Calibri" w:hAnsi="Calibri"/>
          <w:b/>
          <w:color w:val="30A46C"/>
          <w:sz w:val="22"/>
        </w:rPr>
        <w:t>TRGP read-through: Positive.</w:t>
      </w:r>
      <w:r>
        <w:rPr>
          <w:rFonts w:ascii="Calibri" w:hAnsi="Calibri"/>
          <w:color w:val="525866"/>
          <w:sz w:val="22"/>
        </w:rPr>
        <w:t xml:space="preserve"> Favorable NGL pricing and export demand directly supports TRGP's LPG export volumes and fractionation margins.</w:t>
      </w:r>
    </w:p>
    <w:p>
      <w:pPr>
        <w:pStyle w:val="ListBullet"/>
        <w:ind w:left="360" w:hanging="360"/>
      </w:pPr>
      <w:r>
        <w:rPr>
          <w:rFonts w:ascii="Calibri" w:hAnsi="Calibri"/>
          <w:b/>
          <w:color w:val="525866"/>
          <w:sz w:val="22"/>
        </w:rPr>
        <w:t xml:space="preserve">H2 2026 Waha differential headwind acknowledged: </w:t>
      </w:r>
      <w:r>
        <w:rPr>
          <w:rFonts w:ascii="Calibri" w:hAnsi="Calibri"/>
          <w:color w:val="525866"/>
          <w:sz w:val="22"/>
        </w:rPr>
        <w:t xml:space="preserve">Schwartz: "We expect lower earnings in the second half of the year as Permian takeaway capacity enters service and differentials narrow. Consistent with our full-year outlook and guidance assumptions." </w:t>
      </w:r>
      <w:r>
        <w:rPr>
          <w:rFonts w:ascii="Calibri" w:hAnsi="Calibri"/>
          <w:b/>
          <w:color w:val="525866"/>
          <w:sz w:val="22"/>
        </w:rPr>
        <w:t>TRGP read-through: Mixed.</w:t>
      </w:r>
      <w:r>
        <w:rPr>
          <w:rFonts w:ascii="Calibri" w:hAnsi="Calibri"/>
          <w:color w:val="525866"/>
          <w:sz w:val="22"/>
        </w:rPr>
        <w:t xml:space="preserve"> Narrowing Waha differentials reduce basis-trading/marketing upside in H2 2026 — consistent with TRGP's own guidance that marketing opportunities will "continue likely until later this year when incremental Permian egress capacity is added." This is a known headwind, not a surprise.</w:t>
      </w:r>
    </w:p>
    <w:p>
      <w:pPr>
        <w:pStyle w:val="ListBullet"/>
        <w:ind w:left="360" w:hanging="360"/>
      </w:pPr>
      <w:r>
        <w:rPr>
          <w:rFonts w:ascii="Calibri" w:hAnsi="Calibri"/>
          <w:b/>
          <w:color w:val="525866"/>
          <w:sz w:val="22"/>
        </w:rPr>
        <w:t xml:space="preserve">Permian producer activity healthy; rigs up across all basins: </w:t>
      </w:r>
      <w:r>
        <w:rPr>
          <w:rFonts w:ascii="Calibri" w:hAnsi="Calibri"/>
          <w:color w:val="525866"/>
          <w:sz w:val="22"/>
        </w:rPr>
        <w:t xml:space="preserve">CEO Pierce Norton: "We're seeing a nice pickup in producer activity... rigs up in every one of our basins and visibility to more coming up." Over 30 rigs operating on OKE's Midland crude gathering acreage. </w:t>
      </w:r>
      <w:r>
        <w:rPr>
          <w:rFonts w:ascii="Calibri" w:hAnsi="Calibri"/>
          <w:b/>
          <w:color w:val="30A46C"/>
          <w:sz w:val="22"/>
        </w:rPr>
        <w:t>TRGP read-through: Positive.</w:t>
      </w:r>
      <w:r>
        <w:rPr>
          <w:rFonts w:ascii="Calibri" w:hAnsi="Calibri"/>
          <w:color w:val="525866"/>
          <w:sz w:val="22"/>
        </w:rPr>
        <w:t xml:space="preserve"> Healthy producer activity and rising rig counts support TRGP's volume growth outlook for the remainder of 2026 and into 2027.</w:t>
      </w:r>
    </w:p>
    <w:p>
      <w:pPr>
        <w:pStyle w:val="Heading3"/>
      </w:pPr>
      <w:r>
        <w:rPr>
          <w:rFonts w:ascii="Calibri" w:hAnsi="Calibri"/>
          <w:b/>
          <w:color w:val="3B4259"/>
          <w:sz w:val="24"/>
        </w:rPr>
        <w:t>Kinder Morgan (KMI) — Q2 2026 Earnings Call, July 22, 2026</w:t>
      </w:r>
    </w:p>
    <w:p>
      <w:pPr>
        <w:pStyle w:val="ListBullet"/>
        <w:ind w:left="360" w:hanging="360"/>
      </w:pPr>
      <w:r>
        <w:rPr>
          <w:rFonts w:ascii="Calibri" w:hAnsi="Calibri"/>
          <w:b/>
          <w:color w:val="525866"/>
          <w:sz w:val="22"/>
        </w:rPr>
        <w:t xml:space="preserve">Natural gas fundamentals "never been stronger": </w:t>
      </w:r>
      <w:r>
        <w:rPr>
          <w:rFonts w:ascii="Calibri" w:hAnsi="Calibri"/>
          <w:color w:val="525866"/>
          <w:sz w:val="22"/>
        </w:rPr>
        <w:t xml:space="preserve">CEO Kim Dang: "The fundamentals supporting our natural gas business have never been stronger." Wood Mackenzie projects U.S. natural gas demand to exceed 160 Bcf/d by 2035, representing ~46 Bcf/d of incremental demand growth vs. 2025. KMI raised full-year 2026 EBITDA guidance to at least 5% above budget. </w:t>
      </w:r>
      <w:r>
        <w:rPr>
          <w:rFonts w:ascii="Calibri" w:hAnsi="Calibri"/>
          <w:b/>
          <w:color w:val="30A46C"/>
          <w:sz w:val="22"/>
        </w:rPr>
        <w:t>TRGP read-through: Positive.</w:t>
      </w:r>
      <w:r>
        <w:rPr>
          <w:rFonts w:ascii="Calibri" w:hAnsi="Calibri"/>
          <w:color w:val="525866"/>
          <w:sz w:val="22"/>
        </w:rPr>
        <w:t xml:space="preserve"> Strong and growing natural gas demand underpins TRGP's gathering, processing, and transportation assets.</w:t>
      </w:r>
    </w:p>
    <w:p>
      <w:pPr>
        <w:pStyle w:val="ListBullet"/>
        <w:ind w:left="360" w:hanging="360"/>
      </w:pPr>
      <w:r>
        <w:rPr>
          <w:rFonts w:ascii="Calibri" w:hAnsi="Calibri"/>
          <w:b/>
          <w:color w:val="525866"/>
          <w:sz w:val="22"/>
        </w:rPr>
        <w:t xml:space="preserve">Permian egress demand insatiable — GCC expansion "pretty much was full" immediately: </w:t>
      </w:r>
      <w:r>
        <w:rPr>
          <w:rFonts w:ascii="Calibri" w:hAnsi="Calibri"/>
          <w:color w:val="525866"/>
          <w:sz w:val="22"/>
        </w:rPr>
        <w:t xml:space="preserve">President Sital Mody: "It pretty much was full. And that's been the case on all of our projects out of the Permian. They've been pretty full as we've brought them on." KMI is in discussions with customers about "several options out of the Permian" for the next phase of growth. </w:t>
      </w:r>
      <w:r>
        <w:rPr>
          <w:rFonts w:ascii="Calibri" w:hAnsi="Calibri"/>
          <w:b/>
          <w:color w:val="30A46C"/>
          <w:sz w:val="22"/>
        </w:rPr>
        <w:t>TRGP read-through: Positive.</w:t>
      </w:r>
      <w:r>
        <w:rPr>
          <w:rFonts w:ascii="Calibri" w:hAnsi="Calibri"/>
          <w:color w:val="525866"/>
          <w:sz w:val="22"/>
        </w:rPr>
        <w:t xml:space="preserve"> Immediate fill-up of new Permian egress capacity confirms robust underlying production growth, directly supporting TRGP's Permian volume ramp.</w:t>
      </w:r>
    </w:p>
    <w:p>
      <w:pPr>
        <w:pStyle w:val="ListBullet"/>
        <w:ind w:left="360" w:hanging="360"/>
      </w:pPr>
      <w:r>
        <w:rPr>
          <w:rFonts w:ascii="Calibri" w:hAnsi="Calibri"/>
          <w:b/>
          <w:color w:val="525866"/>
          <w:sz w:val="22"/>
        </w:rPr>
        <w:t xml:space="preserve">Haynesville expected to grow 7–10 Bcf/d through 2030: </w:t>
      </w:r>
      <w:r>
        <w:rPr>
          <w:rFonts w:ascii="Calibri" w:hAnsi="Calibri"/>
          <w:color w:val="525866"/>
          <w:sz w:val="22"/>
        </w:rPr>
        <w:t xml:space="preserve">Dang: "We're expecting significant growth coming out of the Haynesville between 2025 and 2030 — on our numbers it's ten Bcf a day." KMI completing a $500M investment to add incremental transport and processing capacity (another 1 Bcf of processing capacity). </w:t>
      </w:r>
      <w:r>
        <w:rPr>
          <w:rFonts w:ascii="Calibri" w:hAnsi="Calibri"/>
          <w:b/>
          <w:color w:val="30A46C"/>
          <w:sz w:val="22"/>
        </w:rPr>
        <w:t>TRGP read-through: Positive (indirect).</w:t>
      </w:r>
      <w:r>
        <w:rPr>
          <w:rFonts w:ascii="Calibri" w:hAnsi="Calibri"/>
          <w:color w:val="525866"/>
          <w:sz w:val="22"/>
        </w:rPr>
        <w:t xml:space="preserve"> Haynesville growth drives LNG export feedgas demand, supporting Gulf Coast NGL and gas prices that benefit TRGP's downstream marketing.</w:t>
      </w:r>
    </w:p>
    <w:p>
      <w:pPr>
        <w:pStyle w:val="ListBullet"/>
        <w:ind w:left="360" w:hanging="360"/>
      </w:pPr>
      <w:r>
        <w:rPr>
          <w:rFonts w:ascii="Calibri" w:hAnsi="Calibri"/>
          <w:b/>
          <w:color w:val="525866"/>
          <w:sz w:val="22"/>
        </w:rPr>
        <w:t xml:space="preserve">Commodity price tailwind in Q2; uncertain for H2: </w:t>
      </w:r>
      <w:r>
        <w:rPr>
          <w:rFonts w:ascii="Calibri" w:hAnsi="Calibri"/>
          <w:color w:val="525866"/>
          <w:sz w:val="22"/>
        </w:rPr>
        <w:t xml:space="preserve">Natural Gas Pipelines President Dax Sanders: "Commodity prices, obviously, with the Iran conflict, contributed to outperformance across multiple assets. Some of those are hard to call for the rest of the year." </w:t>
      </w:r>
      <w:r>
        <w:rPr>
          <w:rFonts w:ascii="Calibri" w:hAnsi="Calibri"/>
          <w:b/>
          <w:color w:val="525866"/>
          <w:sz w:val="22"/>
        </w:rPr>
        <w:t>TRGP read-through: Mixed.</w:t>
      </w:r>
      <w:r>
        <w:rPr>
          <w:rFonts w:ascii="Calibri" w:hAnsi="Calibri"/>
          <w:color w:val="525866"/>
          <w:sz w:val="22"/>
        </w:rPr>
        <w:t xml:space="preserve"> Commodity-driven marketing upside in Q2 is real but uncertain to persist in H2 — consistent with TRGP's own conservative guidance framing.</w:t>
      </w:r>
    </w:p>
    <w:p>
      <w:pPr>
        <w:pStyle w:val="Heading3"/>
      </w:pPr>
      <w:r>
        <w:rPr>
          <w:rFonts w:ascii="Calibri" w:hAnsi="Calibri"/>
          <w:b/>
          <w:color w:val="3B4259"/>
          <w:sz w:val="24"/>
        </w:rPr>
        <w:t>Williams Companies (WMB) — Q2 2026 Earnings Call, August 4, 2026</w:t>
      </w:r>
    </w:p>
    <w:p>
      <w:pPr>
        <w:pStyle w:val="ListBullet"/>
        <w:ind w:left="360" w:hanging="360"/>
      </w:pPr>
      <w:r>
        <w:rPr>
          <w:rFonts w:ascii="Calibri" w:hAnsi="Calibri"/>
          <w:b/>
          <w:color w:val="525866"/>
          <w:sz w:val="22"/>
        </w:rPr>
        <w:t xml:space="preserve">LNG export capacity expected to double to &gt;40 Bcf/d over 10 years: </w:t>
      </w:r>
      <w:r>
        <w:rPr>
          <w:rFonts w:ascii="Calibri" w:hAnsi="Calibri"/>
          <w:color w:val="525866"/>
          <w:sz w:val="22"/>
        </w:rPr>
        <w:t xml:space="preserve">CEO Chad Zamarin: "We're at about 18 Bcf a day of LNG export capacity today, and forecast models are showing that going above 40 Bcf in ten years. And so the Haynesville is going to have to respond." WMB acquiring Momentum Midstream (~$5.5B) to expand Haynesville footprint. </w:t>
      </w:r>
      <w:r>
        <w:rPr>
          <w:rFonts w:ascii="Calibri" w:hAnsi="Calibri"/>
          <w:b/>
          <w:color w:val="30A46C"/>
          <w:sz w:val="22"/>
        </w:rPr>
        <w:t>TRGP read-through: Positive (long-term).</w:t>
      </w:r>
      <w:r>
        <w:rPr>
          <w:rFonts w:ascii="Calibri" w:hAnsi="Calibri"/>
          <w:color w:val="525866"/>
          <w:sz w:val="22"/>
        </w:rPr>
        <w:t xml:space="preserve"> Doubling of LNG export capacity drives sustained natural gas demand growth, supporting TRGP's gathering and processing volumes and downstream NGL demand.</w:t>
      </w:r>
    </w:p>
    <w:p>
      <w:pPr>
        <w:pStyle w:val="ListBullet"/>
        <w:ind w:left="360" w:hanging="360"/>
      </w:pPr>
      <w:r>
        <w:rPr>
          <w:rFonts w:ascii="Calibri" w:hAnsi="Calibri"/>
          <w:b/>
          <w:color w:val="525866"/>
          <w:sz w:val="22"/>
        </w:rPr>
        <w:t xml:space="preserve">Weak summer gas prices a near-term caution: </w:t>
      </w:r>
      <w:r>
        <w:rPr>
          <w:rFonts w:ascii="Calibri" w:hAnsi="Calibri"/>
          <w:color w:val="525866"/>
          <w:sz w:val="22"/>
        </w:rPr>
        <w:t xml:space="preserve">SVP Rob Gwin: "We are continuing to see pretty weak gas prices through the summer months. And so just continuing to be a little bit cautious about optimism." Monitoring "what happens to prices here as we move into winter." </w:t>
      </w:r>
      <w:r>
        <w:rPr>
          <w:rFonts w:ascii="Calibri" w:hAnsi="Calibri"/>
          <w:b/>
          <w:color w:val="E5484D"/>
          <w:sz w:val="22"/>
        </w:rPr>
        <w:t>TRGP read-through: Mildly negative for Q3 gas marketing.</w:t>
      </w:r>
      <w:r>
        <w:rPr>
          <w:rFonts w:ascii="Calibri" w:hAnsi="Calibri"/>
          <w:color w:val="525866"/>
          <w:sz w:val="22"/>
        </w:rPr>
        <w:t xml:space="preserve"> Weak summer gas prices could limit TRGP's natural gas marketing/optimization margin in Q3, though this is partially offset by LPG export strength and the Iran conflict-driven butane demand.</w:t>
      </w:r>
    </w:p>
    <w:p>
      <w:pPr>
        <w:pStyle w:val="ListBullet"/>
        <w:ind w:left="360" w:hanging="360"/>
      </w:pPr>
      <w:r>
        <w:rPr>
          <w:rFonts w:ascii="Calibri" w:hAnsi="Calibri"/>
          <w:b/>
          <w:color w:val="525866"/>
          <w:sz w:val="22"/>
        </w:rPr>
        <w:t xml:space="preserve">Growing industrial and power demand in Louisiana/Gulf Coast: </w:t>
      </w:r>
      <w:r>
        <w:rPr>
          <w:rFonts w:ascii="Calibri" w:hAnsi="Calibri"/>
          <w:color w:val="525866"/>
          <w:sz w:val="22"/>
        </w:rPr>
        <w:t xml:space="preserve">SVP Larry Larson: "We're seeing growth across Louisiana, both from power and industrial loads. It's going to create more opportunities for us." </w:t>
      </w:r>
      <w:r>
        <w:rPr>
          <w:rFonts w:ascii="Calibri" w:hAnsi="Calibri"/>
          <w:b/>
          <w:color w:val="30A46C"/>
          <w:sz w:val="22"/>
        </w:rPr>
        <w:t>TRGP read-through: Positive.</w:t>
      </w:r>
      <w:r>
        <w:rPr>
          <w:rFonts w:ascii="Calibri" w:hAnsi="Calibri"/>
          <w:color w:val="525866"/>
          <w:sz w:val="22"/>
        </w:rPr>
        <w:t xml:space="preserve"> Growing Gulf Coast industrial demand supports NGL feedstock demand and LPG export pricing.</w:t>
      </w:r>
    </w:p>
    <w:p>
      <w:pPr>
        <w:pStyle w:val="Heading3"/>
      </w:pPr>
      <w:r>
        <w:rPr>
          <w:rFonts w:ascii="Calibri" w:hAnsi="Calibri"/>
          <w:b/>
          <w:color w:val="3B4259"/>
          <w:sz w:val="24"/>
        </w:rPr>
        <w:t>Diamondback Energy (FANG) — Q2 2026 Earnings Call, August 4, 2026</w:t>
      </w:r>
    </w:p>
    <w:p>
      <w:pPr>
        <w:pStyle w:val="ListBullet"/>
        <w:ind w:left="360" w:hanging="360"/>
      </w:pPr>
      <w:r>
        <w:rPr>
          <w:rFonts w:ascii="Calibri" w:hAnsi="Calibri"/>
          <w:b/>
          <w:color w:val="525866"/>
          <w:sz w:val="22"/>
        </w:rPr>
        <w:t xml:space="preserve">Waha positive for entire month of July — a "nice tailwind": </w:t>
      </w:r>
      <w:r>
        <w:rPr>
          <w:rFonts w:ascii="Calibri" w:hAnsi="Calibri"/>
          <w:color w:val="525866"/>
          <w:sz w:val="22"/>
        </w:rPr>
        <w:t xml:space="preserve">FANG management noted "Waha being positive for the whole month of July, and certainly a nice tailwind for us and for our shareholders in the near term." Announcements from Energy Transfer and Whitewater on new pipes "moving forward." </w:t>
      </w:r>
      <w:r>
        <w:rPr>
          <w:rFonts w:ascii="Calibri" w:hAnsi="Calibri"/>
          <w:b/>
          <w:color w:val="30A46C"/>
          <w:sz w:val="22"/>
        </w:rPr>
        <w:t>TRGP read-through: Positive.</w:t>
      </w:r>
      <w:r>
        <w:rPr>
          <w:rFonts w:ascii="Calibri" w:hAnsi="Calibri"/>
          <w:color w:val="525866"/>
          <w:sz w:val="22"/>
        </w:rPr>
        <w:t xml:space="preserve"> Positive Waha prices in July confirm that Permian gas shut-ins are reversing, directly supporting TRGP's Q2 and Q3 Permian volume ramp.</w:t>
      </w:r>
    </w:p>
    <w:p>
      <w:pPr>
        <w:pStyle w:val="ListBullet"/>
        <w:ind w:left="360" w:hanging="360"/>
      </w:pPr>
      <w:r>
        <w:rPr>
          <w:rFonts w:ascii="Calibri" w:hAnsi="Calibri"/>
          <w:b/>
          <w:color w:val="525866"/>
          <w:sz w:val="22"/>
        </w:rPr>
        <w:t xml:space="preserve">Permian gas production expected to outperform for 10+ years: </w:t>
      </w:r>
      <w:r>
        <w:rPr>
          <w:rFonts w:ascii="Calibri" w:hAnsi="Calibri"/>
          <w:color w:val="525866"/>
          <w:sz w:val="22"/>
        </w:rPr>
        <w:t xml:space="preserve">FANG management: "Our gas production continues to outperform expectations. I think that will continue over the next ten-plus years." Barnett development becoming a bigger portion of the plan, causing gas production to "creep up a little bit." </w:t>
      </w:r>
      <w:r>
        <w:rPr>
          <w:rFonts w:ascii="Calibri" w:hAnsi="Calibri"/>
          <w:b/>
          <w:color w:val="30A46C"/>
          <w:sz w:val="22"/>
        </w:rPr>
        <w:t>TRGP read-through: Positive.</w:t>
      </w:r>
      <w:r>
        <w:rPr>
          <w:rFonts w:ascii="Calibri" w:hAnsi="Calibri"/>
          <w:color w:val="525866"/>
          <w:sz w:val="22"/>
        </w:rPr>
        <w:t xml:space="preserve"> Sustained Permian gas production growth from key customers directly supports TRGP's long-term gathering and processing volume outlook.</w:t>
      </w:r>
    </w:p>
    <w:p>
      <w:pPr>
        <w:pStyle w:val="ListBullet"/>
        <w:ind w:left="360" w:hanging="360"/>
      </w:pPr>
      <w:r>
        <w:rPr>
          <w:rFonts w:ascii="Calibri" w:hAnsi="Calibri"/>
          <w:b/>
          <w:color w:val="525866"/>
          <w:sz w:val="22"/>
        </w:rPr>
        <w:t xml:space="preserve">Bryant Ranch data center project — new in-basin gas egress: </w:t>
      </w:r>
      <w:r>
        <w:rPr>
          <w:rFonts w:ascii="Calibri" w:hAnsi="Calibri"/>
          <w:color w:val="525866"/>
          <w:sz w:val="22"/>
        </w:rPr>
        <w:t xml:space="preserve">FANG is developing a data center project targeting "first gas as soon as the back half of 2027" and setting aside "200–250 MMcf/d for this project." Awaiting ERCOT determination on August 20. </w:t>
      </w:r>
      <w:r>
        <w:rPr>
          <w:rFonts w:ascii="Calibri" w:hAnsi="Calibri"/>
          <w:b/>
          <w:color w:val="30A46C"/>
          <w:sz w:val="22"/>
        </w:rPr>
        <w:t>TRGP read-through: Positive (medium-term).</w:t>
      </w:r>
      <w:r>
        <w:rPr>
          <w:rFonts w:ascii="Calibri" w:hAnsi="Calibri"/>
          <w:color w:val="525866"/>
          <w:sz w:val="22"/>
        </w:rPr>
        <w:t xml:space="preserve"> New in-basin gas demand from data centers provides an additional egress solution for Permian gas, reducing future shut-in risk for TRGP's producers.</w:t>
      </w:r>
    </w:p>
    <w:p>
      <w:pPr>
        <w:pStyle w:val="ListBullet"/>
        <w:ind w:left="360" w:hanging="360"/>
      </w:pPr>
      <w:r>
        <w:rPr>
          <w:rFonts w:ascii="Calibri" w:hAnsi="Calibri"/>
          <w:b/>
          <w:color w:val="525866"/>
          <w:sz w:val="22"/>
        </w:rPr>
        <w:t xml:space="preserve">Devon Energy (DVN) — Q2 2026 Earnings Call, August 5, 2026: </w:t>
      </w:r>
      <w:r>
        <w:rPr>
          <w:rFonts w:ascii="Calibri" w:hAnsi="Calibri"/>
          <w:color w:val="525866"/>
          <w:sz w:val="22"/>
        </w:rPr>
        <w:t xml:space="preserve">DVN tightened full-year oil guidance to 495–505 MBbl/d and guided Q3 oil volumes to 550–560 MBbl/d ("steps up meaningfully"). Pleased with KMI GCC expansion impact; 70%+ of Permian gas production hedged or contracted to coast for H2 2026. Blackcomb pipeline providing additional egress "later in the year and in the first half of next year." </w:t>
      </w:r>
      <w:r>
        <w:rPr>
          <w:rFonts w:ascii="Calibri" w:hAnsi="Calibri"/>
          <w:b/>
          <w:color w:val="30A46C"/>
          <w:sz w:val="22"/>
        </w:rPr>
        <w:t>TRGP read-through: Positive.</w:t>
      </w:r>
      <w:r>
        <w:rPr>
          <w:rFonts w:ascii="Calibri" w:hAnsi="Calibri"/>
          <w:color w:val="525866"/>
          <w:sz w:val="22"/>
        </w:rPr>
        <w:t xml:space="preserve"> DVN's Q3 production ramp and well-hedged gas position confirm continued Permian activity; Blackcomb egress relief directly benefits TRGP's Permian producers.</w:t>
      </w:r>
    </w:p>
    <w:p>
      <w:pPr>
        <w:pStyle w:val="ListBullet"/>
        <w:ind w:left="360" w:hanging="360"/>
      </w:pPr>
      <w:r>
        <w:rPr>
          <w:rFonts w:ascii="Calibri" w:hAnsi="Calibri"/>
          <w:b/>
          <w:color w:val="525866"/>
          <w:sz w:val="22"/>
        </w:rPr>
        <w:t xml:space="preserve">EOG Resources (EOG) — Q2 2026 Earnings Call, August 4, 2026: </w:t>
      </w:r>
      <w:r>
        <w:rPr>
          <w:rFonts w:ascii="Calibri" w:hAnsi="Calibri"/>
          <w:color w:val="525866"/>
          <w:sz w:val="22"/>
        </w:rPr>
        <w:t xml:space="preserve">EOG maintained full-year guidance of 5% oil growth and 14% total production growth with unchanged capex of $6.5B. Delaware Basin Janus gas processing plant running at &gt;99% utilization with $0.65/MCF net-back uplift. "Additional egress coming on in the back half of the year — another 4–6 Bcf coming out of the basin" expected to "cause some relief." </w:t>
      </w:r>
      <w:r>
        <w:rPr>
          <w:rFonts w:ascii="Calibri" w:hAnsi="Calibri"/>
          <w:b/>
          <w:color w:val="30A46C"/>
          <w:sz w:val="22"/>
        </w:rPr>
        <w:t>TRGP read-through: Positive.</w:t>
      </w:r>
      <w:r>
        <w:rPr>
          <w:rFonts w:ascii="Calibri" w:hAnsi="Calibri"/>
          <w:color w:val="525866"/>
          <w:sz w:val="22"/>
        </w:rPr>
        <w:t xml:space="preserve"> EOG's sustained Delaware Basin activity and confirmation of additional H2 2026 egress capacity directly support TRGP's Delaware processing volume growth.</w:t>
      </w:r>
    </w:p>
    <w:p>
      <w:r>
        <w:br w:type="page"/>
      </w:r>
    </w:p>
    <w:p>
      <w:pPr>
        <w:pStyle w:val="Heading2"/>
      </w:pPr>
      <w:r>
        <w:rPr>
          <w:rFonts w:ascii="Calibri" w:hAnsi="Calibri"/>
          <w:b/>
          <w:color w:val="3B4259"/>
          <w:sz w:val="28"/>
        </w:rPr>
        <w:t>8. Insider Transaction Activity (Since May 7, 2026)</w:t>
      </w:r>
    </w:p>
    <w:p>
      <w:r>
        <w:rPr>
          <w:rFonts w:ascii="Calibri" w:hAnsi="Calibri"/>
          <w:b/>
          <w:color w:val="525866"/>
          <w:sz w:val="22"/>
        </w:rPr>
        <w:t xml:space="preserve">Key Takeaway: </w:t>
      </w:r>
      <w:r>
        <w:rPr>
          <w:rFonts w:ascii="Calibri" w:hAnsi="Calibri"/>
          <w:color w:val="525866"/>
          <w:sz w:val="22"/>
        </w:rPr>
        <w:t>Only one open-market transaction was identified in the post-Q1 window — a discretionary sale by a director — which is not unusual and does not signal a notable insider signal in either direction. No open-market buys were filed.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 (Transaction)</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Charles R. Crisp</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10,602 shares</w:t>
            </w:r>
          </w:p>
        </w:tc>
        <w:tc>
          <w:tcPr>
            <w:tcW w:type="dxa" w:w="1440"/>
          </w:tcPr>
          <w:p>
            <w:r>
              <w:rPr>
                <w:rFonts w:ascii="Calibri" w:hAnsi="Calibri"/>
                <w:sz w:val="22"/>
              </w:rPr>
              <w:t>May 12, 2026</w:t>
            </w:r>
          </w:p>
        </w:tc>
        <w:tc>
          <w:tcPr>
            <w:tcW w:type="dxa" w:w="1440"/>
          </w:tcPr>
          <w:p>
            <w:r>
              <w:rPr>
                <w:rFonts w:ascii="Calibri" w:hAnsi="Calibri"/>
                <w:sz w:val="22"/>
              </w:rPr>
              <w:t>Discretionary sale (no 10b5-1 plan indicated); 66,492 shares remaining post-sale (~14% of prior holdings sold). Filed May 13, 2026.</w:t>
            </w:r>
          </w:p>
        </w:tc>
      </w:tr>
    </w:tbl>
    <w:p>
      <w:r>
        <w:rPr>
          <w:rFonts w:ascii="Calibri" w:hAnsi="Calibri"/>
          <w:color w:val="525866"/>
          <w:sz w:val="22"/>
        </w:rPr>
        <w:t>Source: Insider Transaction Data (SEC Form 4 filings). No open-market purchases were identified in the May 7 – August 5, 2026 window. The single director sale is modest in context and does not represent a clustered or unusual insider signal. No 10b5-1 plan initiations were identified for TRGP in this period.</w:t>
      </w:r>
    </w:p>
    <w:p>
      <w:r>
        <w:br w:type="page"/>
      </w:r>
    </w:p>
    <w:p>
      <w:pPr>
        <w:pStyle w:val="Heading2"/>
      </w:pPr>
      <w:r>
        <w:rPr>
          <w:rFonts w:ascii="Calibri" w:hAnsi="Calibri"/>
          <w:b/>
          <w:color w:val="3B4259"/>
          <w:sz w:val="28"/>
        </w:rPr>
        <w:t>9. Key Questions for Management</w:t>
      </w:r>
    </w:p>
    <w:p>
      <w:pPr>
        <w:pStyle w:val="ListNumber"/>
        <w:ind w:left="360" w:hanging="360"/>
      </w:pPr>
      <w:r>
        <w:rPr>
          <w:rFonts w:ascii="Calibri" w:hAnsi="Calibri"/>
          <w:b/>
          <w:color w:val="525866"/>
          <w:sz w:val="22"/>
        </w:rPr>
        <w:t xml:space="preserve">LPG export volumes and marketing margin in Q2: </w:t>
      </w:r>
      <w:r>
        <w:rPr>
          <w:rFonts w:ascii="Calibri" w:hAnsi="Calibri"/>
          <w:color w:val="525866"/>
          <w:sz w:val="22"/>
        </w:rPr>
        <w:t>Management guided for "record Targa loadings" in Q2 driven by incremental butane demand from the Iran conflict. Did loadings actually set a record, and how much of the Q2 EBITDA beat (if any) came from marketing/optimization vs. fee-based volume growth? How should we think about the sustainability of this marketing upside in Q3 as Waha differentials narrow?</w:t>
      </w:r>
    </w:p>
    <w:p>
      <w:pPr>
        <w:pStyle w:val="ListNumber"/>
        <w:ind w:left="360" w:hanging="360"/>
      </w:pPr>
      <w:r>
        <w:rPr>
          <w:rFonts w:ascii="Calibri" w:hAnsi="Calibri"/>
          <w:b/>
          <w:color w:val="525866"/>
          <w:sz w:val="22"/>
        </w:rPr>
        <w:t xml:space="preserve">Permian volume trajectory and Waha shut-in update: </w:t>
      </w:r>
      <w:r>
        <w:rPr>
          <w:rFonts w:ascii="Calibri" w:hAnsi="Calibri"/>
          <w:color w:val="525866"/>
          <w:sz w:val="22"/>
        </w:rPr>
        <w:t>Q2 Permian volumes were guided "significantly higher" than Q1's 6,730 MMcf/d average. With Waha turning positive in July (per FANG commentary) and Hugh Brinson now in commercial service, how much of the previously shut-in 200–400 MMcf/d has come back online? What is the current run-rate entering Q3, and does the low double-digit FY 2026 growth target still hold?</w:t>
      </w:r>
    </w:p>
    <w:p>
      <w:pPr>
        <w:pStyle w:val="ListNumber"/>
        <w:ind w:left="360" w:hanging="360"/>
      </w:pPr>
      <w:r>
        <w:rPr>
          <w:rFonts w:ascii="Calibri" w:hAnsi="Calibri"/>
          <w:b/>
          <w:color w:val="525866"/>
          <w:sz w:val="22"/>
        </w:rPr>
        <w:t xml:space="preserve">FY 2026 EBITDA guidance — raise or maintain? </w:t>
      </w:r>
      <w:r>
        <w:rPr>
          <w:rFonts w:ascii="Calibri" w:hAnsi="Calibri"/>
          <w:color w:val="525866"/>
          <w:sz w:val="22"/>
        </w:rPr>
        <w:t>Consensus is already near the top of the $5.7–$5.9B range. Given Q2 performance and the Iran conflict-driven commodity tailwind, is there room to raise the top end of guidance, or will management maintain the range and let the beat speak for itself? What is the updated view on back-half marketing/optimization conservatism?</w:t>
      </w:r>
    </w:p>
    <w:p>
      <w:pPr>
        <w:pStyle w:val="ListNumber"/>
        <w:ind w:left="360" w:hanging="360"/>
      </w:pPr>
      <w:r>
        <w:rPr>
          <w:rFonts w:ascii="Calibri" w:hAnsi="Calibri"/>
          <w:b/>
          <w:color w:val="525866"/>
          <w:sz w:val="22"/>
        </w:rPr>
        <w:t xml:space="preserve">Train 11 ramp and fractionation capacity utilization: </w:t>
      </w:r>
      <w:r>
        <w:rPr>
          <w:rFonts w:ascii="Calibri" w:hAnsi="Calibri"/>
          <w:color w:val="525866"/>
          <w:sz w:val="22"/>
        </w:rPr>
        <w:t>Train 11 came online early in Q2. How quickly did it ramp to full utilization, and what is the current fractionation capacity utilization rate? Are Trains 12 and 13 still on track for Q1 2027 and Q1 2028, respectively?</w:t>
      </w:r>
    </w:p>
    <w:p>
      <w:pPr>
        <w:pStyle w:val="ListNumber"/>
        <w:ind w:left="360" w:hanging="360"/>
      </w:pPr>
      <w:r>
        <w:rPr>
          <w:rFonts w:ascii="Calibri" w:hAnsi="Calibri"/>
          <w:b/>
          <w:color w:val="525866"/>
          <w:sz w:val="22"/>
        </w:rPr>
        <w:t xml:space="preserve">Delaware Express NGL pipeline startup progress: </w:t>
      </w:r>
      <w:r>
        <w:rPr>
          <w:rFonts w:ascii="Calibri" w:hAnsi="Calibri"/>
          <w:color w:val="525866"/>
          <w:sz w:val="22"/>
        </w:rPr>
        <w:t>The pipeline entered startup in May 2026. What is the current throughput level, and when does management expect it to reach full utilization? How does this affect NGL pipeline transportation volume guidance for the remainder of 2026?</w:t>
      </w:r>
    </w:p>
    <w:p>
      <w:pPr>
        <w:pStyle w:val="ListNumber"/>
        <w:ind w:left="360" w:hanging="360"/>
      </w:pPr>
      <w:r>
        <w:rPr>
          <w:rFonts w:ascii="Calibri" w:hAnsi="Calibri"/>
          <w:b/>
          <w:color w:val="525866"/>
          <w:sz w:val="22"/>
        </w:rPr>
        <w:t xml:space="preserve">Capital allocation — buybacks vs. dividends: </w:t>
      </w:r>
      <w:r>
        <w:rPr>
          <w:rFonts w:ascii="Calibri" w:hAnsi="Calibri"/>
          <w:color w:val="525866"/>
          <w:sz w:val="22"/>
        </w:rPr>
        <w:t>TRGP repurchased $55M of stock in Q1 at $241.43/share. With the stock now trading at ~$260, is the buyback pace accelerating or decelerating? How does management think about the trade-off between buybacks and the path to the FCF inflection in late 2027?</w:t>
      </w:r>
    </w:p>
    <w:p>
      <w:pPr>
        <w:pStyle w:val="ListNumber"/>
        <w:ind w:left="360" w:hanging="360"/>
      </w:pPr>
      <w:r>
        <w:rPr>
          <w:rFonts w:ascii="Calibri" w:hAnsi="Calibri"/>
          <w:b/>
          <w:color w:val="525866"/>
          <w:sz w:val="22"/>
        </w:rPr>
        <w:t xml:space="preserve">Speedway NGL pipeline and LPG export expansion — execution update: </w:t>
      </w:r>
      <w:r>
        <w:rPr>
          <w:rFonts w:ascii="Calibri" w:hAnsi="Calibri"/>
          <w:color w:val="525866"/>
          <w:sz w:val="22"/>
        </w:rPr>
        <w:t>Both projects are targeted for Q3 2027 and are the key drivers of the FCF inflection thesis. Are they still on schedule and on budget? Any supply chain or permitting concerns given the broader infrastructure build-out across the sector?</w:t>
      </w:r>
    </w:p>
    <w:p>
      <w:pPr>
        <w:pStyle w:val="ListNumber"/>
        <w:ind w:left="360" w:hanging="360"/>
      </w:pPr>
      <w:r>
        <w:rPr>
          <w:rFonts w:ascii="Calibri" w:hAnsi="Calibri"/>
          <w:b/>
          <w:color w:val="525866"/>
          <w:sz w:val="22"/>
        </w:rPr>
        <w:t xml:space="preserve">Sour gas competitive positioning: </w:t>
      </w:r>
      <w:r>
        <w:rPr>
          <w:rFonts w:ascii="Calibri" w:hAnsi="Calibri"/>
          <w:color w:val="525866"/>
          <w:sz w:val="22"/>
        </w:rPr>
        <w:t>Management has highlighted a "significant increase in sour gas activity" and expects continued sour gas growth. How much of the new Roadrunner III and Copperhead II capacity is dedicated to sour gas processing, and how is the competitive landscape evolving in the Delaware Basin?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