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X183443190761d7f617c7c5e3bc8d3d5844f441a"/>
    <w:p>
      <w:pPr>
        <w:pStyle w:val="Heading1"/>
      </w:pPr>
      <w:r>
        <w:t xml:space="preserve">The Trade Desk (TTD) — Q2 2026 Earnings Preview</w:t>
      </w:r>
    </w:p>
    <w:p>
      <w:pPr>
        <w:pStyle w:val="FirstParagraph"/>
      </w:pPr>
      <w:r>
        <w:rPr>
          <w:b/>
          <w:bCs/>
        </w:rPr>
        <w:t xml:space="preserve">Report date:</w:t>
      </w:r>
      <w:r>
        <w:t xml:space="preserve"> </w:t>
      </w:r>
      <w:r>
        <w:t xml:space="preserve">After market close, Thursday, August 6, 2026 (Q2 FY2026) ·</w:t>
      </w:r>
      <w:r>
        <w:t xml:space="preserve"> </w:t>
      </w:r>
      <w:r>
        <w:rPr>
          <w:b/>
          <w:bCs/>
        </w:rPr>
        <w:t xml:space="preserve">Recent price:</w:t>
      </w:r>
      <w:r>
        <w:t xml:space="preserve"> </w:t>
      </w:r>
      <w:r>
        <w:t xml:space="preserve">~$19 (Aug 5 close)</w:t>
      </w:r>
    </w:p>
    <w:p>
      <w:r>
        <w:pict>
          <v:rect style="width:0;height:1.5pt" o:hralign="center" o:hrstd="t" o:hr="t"/>
        </w:pict>
      </w:r>
    </w:p>
    <w:bookmarkStart w:id="9" w:name="the-one-thing-to-understand-going-in"/>
    <w:p>
      <w:pPr>
        <w:pStyle w:val="Heading2"/>
      </w:pPr>
      <w:r>
        <w:t xml:space="preserve">The one thing to understand going in</w:t>
      </w:r>
    </w:p>
    <w:p>
      <w:pPr>
        <w:pStyle w:val="FirstParagraph"/>
      </w:pPr>
      <w:r>
        <w:t xml:space="preserve">This is no longer the high-flying growth story it was a year ago. TTD enters this print having lost roughly</w:t>
      </w:r>
      <w:r>
        <w:t xml:space="preserve"> </w:t>
      </w:r>
      <w:r>
        <w:rPr>
          <w:b/>
          <w:bCs/>
        </w:rPr>
        <w:t xml:space="preserve">three-quarters of its value over the past twelve months</w:t>
      </w:r>
      <w:r>
        <w:t xml:space="preserve"> </w:t>
      </w:r>
      <w:r>
        <w:t xml:space="preserve">— from ~</w:t>
      </w:r>
      <m:oMath>
        <m:r>
          <m:t>88</m:t>
        </m:r>
        <m:r>
          <m:t>t</m:t>
        </m:r>
        <m:r>
          <m:t>h</m:t>
        </m:r>
        <m:r>
          <m:t>e</m:t>
        </m:r>
        <m:r>
          <m:t>d</m:t>
        </m:r>
        <m:r>
          <m:t>a</m:t>
        </m:r>
        <m:r>
          <m:t>y</m:t>
        </m:r>
        <m:r>
          <m:t>b</m:t>
        </m:r>
        <m:r>
          <m:t>e</m:t>
        </m:r>
        <m:r>
          <m:t>f</m:t>
        </m:r>
        <m:r>
          <m:t>o</m:t>
        </m:r>
        <m:r>
          <m:t>r</m:t>
        </m:r>
        <m:r>
          <m:t>e</m:t>
        </m:r>
        <m:r>
          <m:t>i</m:t>
        </m:r>
        <m:r>
          <m:t>t</m:t>
        </m:r>
        <m:r>
          <m:t>s</m:t>
        </m:r>
        <m:r>
          <m:t>Q</m:t>
        </m:r>
        <m:r>
          <m:t>2</m:t>
        </m:r>
        <m:r>
          <m:t>2025</m:t>
        </m:r>
        <m:r>
          <m:t>r</m:t>
        </m:r>
        <m:r>
          <m:t>e</m:t>
        </m:r>
        <m:r>
          <m:t>p</m:t>
        </m:r>
        <m:r>
          <m:t>o</m:t>
        </m:r>
        <m:r>
          <m:t>r</m:t>
        </m:r>
        <m:r>
          <m:t>t</m:t>
        </m:r>
        <m:r>
          <m:t>t</m:t>
        </m:r>
        <m:r>
          <m:t>o</m:t>
        </m:r>
        <m:r>
          <m:t> </m:t>
        </m:r>
      </m:oMath>
      <w:r>
        <w:t xml:space="preserve">19 today, versus a 52-week high near $91. The stock has been hit by a rare triple whammy for a former market darling:</w:t>
      </w:r>
      <w:r>
        <w:t xml:space="preserve"> </w:t>
      </w:r>
      <w:r>
        <w:rPr>
          <w:b/>
          <w:bCs/>
        </w:rPr>
        <w:t xml:space="preserve">decelerating growth, intensifying competition (chiefly Amazon), and self-inflicted credibility damage</w:t>
      </w:r>
      <w:r>
        <w:t xml:space="preserve"> </w:t>
      </w:r>
      <w:r>
        <w:t xml:space="preserve">from a public feud with a major agency holdco, a management shake-up, and an accounting/fee-transparency controversy. The bar is low, sentiment is deeply negative, and expectations are muted — which changes the risk/reward math meaningfully versus prior quarters.</w:t>
      </w:r>
    </w:p>
    <w:p>
      <w:r>
        <w:pict>
          <v:rect style="width:0;height:1.5pt" o:hralign="center" o:hrstd="t" o:hr="t"/>
        </w:pict>
      </w:r>
    </w:p>
    <w:bookmarkEnd w:id="9"/>
    <w:bookmarkStart w:id="10" w:name="what-the-street-expects"/>
    <w:p>
      <w:pPr>
        <w:pStyle w:val="Heading2"/>
      </w:pPr>
      <w:r>
        <w:t xml:space="preserve">What the Street expects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consensus</w:t>
            </w:r>
          </w:p>
        </w:tc>
        <w:tc>
          <w:tcPr/>
          <w:p>
            <w:pPr>
              <w:pStyle w:val="Compact"/>
            </w:pPr>
            <w:r>
              <w:t xml:space="preserve">Company guide (given May 7)</w:t>
            </w:r>
          </w:p>
        </w:tc>
        <w:tc>
          <w:tcPr/>
          <w:p>
            <w:pPr>
              <w:pStyle w:val="Compact"/>
            </w:pPr>
            <w:r>
              <w:t xml:space="preserve">Q2 2025 actual</w:t>
            </w:r>
          </w:p>
        </w:tc>
      </w:tr>
      <w:tr>
        <w:tc>
          <w:tcPr/>
          <w:p>
            <w:pPr>
              <w:pStyle w:val="Compact"/>
            </w:pPr>
            <w:r>
              <w:t xml:space="preserve">Revenue</w:t>
            </w:r>
          </w:p>
        </w:tc>
        <w:tc>
          <w:tcPr/>
          <w:p>
            <w:pPr>
              <w:pStyle w:val="Compact"/>
            </w:pPr>
            <w:r>
              <w:t xml:space="preserve">~$752M (+8.4% YoY)</w:t>
            </w:r>
          </w:p>
        </w:tc>
        <w:tc>
          <w:tcPr/>
          <w:p>
            <w:pPr>
              <w:pStyle w:val="Compact"/>
            </w:pPr>
            <w:r>
              <w:t xml:space="preserve">"at least $750M" (~+8%)</w:t>
            </w:r>
          </w:p>
        </w:tc>
        <w:tc>
          <w:tcPr/>
          <w:p>
            <w:pPr>
              <w:pStyle w:val="Compact"/>
            </w:pPr>
            <w:r>
              <w:t xml:space="preserve">$694M (+19%)</w:t>
            </w:r>
          </w:p>
        </w:tc>
      </w:tr>
      <w:tr>
        <w:tc>
          <w:tcPr/>
          <w:p>
            <w:pPr>
              <w:pStyle w:val="Compact"/>
            </w:pPr>
            <w:r>
              <w:t xml:space="preserve">Adj. EBITDA</w:t>
            </w:r>
          </w:p>
        </w:tc>
        <w:tc>
          <w:tcPr/>
          <w:p>
            <w:pPr>
              <w:pStyle w:val="Compact"/>
            </w:pPr>
            <w:r>
              <w:t xml:space="preserve">~$262M</w:t>
            </w:r>
          </w:p>
        </w:tc>
        <w:tc>
          <w:tcPr/>
          <w:p>
            <w:pPr>
              <w:pStyle w:val="Compact"/>
            </w:pPr>
            <w:r>
              <w:t xml:space="preserve">~$260M</w:t>
            </w:r>
          </w:p>
        </w:tc>
        <w:tc>
          <w:tcPr/>
          <w:p>
            <w:pPr>
              <w:pStyle w:val="Compact"/>
            </w:pPr>
            <w:r>
              <w:t xml:space="preserve">$271M (39% margin)</w:t>
            </w:r>
          </w:p>
        </w:tc>
      </w:tr>
    </w:tbl>
    <w:p>
      <w:pPr>
        <w:pStyle w:val="BodyText"/>
      </w:pPr>
      <w:r>
        <w:t xml:space="preserve">The guide implies an</w:t>
      </w:r>
      <w:r>
        <w:t xml:space="preserve"> </w:t>
      </w:r>
      <w:r>
        <w:rPr>
          <w:b/>
          <w:bCs/>
        </w:rPr>
        <w:t xml:space="preserve">~$260M / $750M ≈ 35% EBITDA margin</w:t>
      </w:r>
      <w:r>
        <w:t xml:space="preserve">, down from 39% a year ago. Management reiterated a full-year 2026 adjusted EBITDA margin target of</w:t>
      </w:r>
      <w:r>
        <w:t xml:space="preserve"> </w:t>
      </w:r>
      <w:r>
        <w:rPr>
          <w:b/>
          <w:bCs/>
        </w:rPr>
        <w:t xml:space="preserve">"at least 40%," roughly in line with 2025's 41%</w:t>
      </w:r>
      <w:r>
        <w:t xml:space="preserve"> </w:t>
      </w:r>
      <w:r>
        <w:t xml:space="preserve">— which requires meaningful back-half margin expansion after a soft first half (Q1 2026 margin was just 30%).</w:t>
      </w:r>
    </w:p>
    <w:p>
      <w:pPr>
        <w:pStyle w:val="BodyText"/>
      </w:pPr>
      <w:r>
        <w:rPr>
          <w:b/>
          <w:bCs/>
        </w:rPr>
        <w:t xml:space="preserve">Watch the beat magnitude.</w:t>
      </w:r>
      <w:r>
        <w:t xml:space="preserve"> </w:t>
      </w:r>
      <w:r>
        <w:t xml:space="preserve">TTD has a long history of guiding conservatively and beating, but the beats have been shrinking. A meet-or-modest-beat may not be enough given how negative positioning is; conversely, given the low bar, even in-line results plus a stabilizing outlook could be received well.</w:t>
      </w:r>
    </w:p>
    <w:p>
      <w:r>
        <w:pict>
          <v:rect style="width:0;height:1.5pt" o:hralign="center" o:hrstd="t" o:hr="t"/>
        </w:pict>
      </w:r>
    </w:p>
    <w:bookmarkEnd w:id="10"/>
    <w:bookmarkStart w:id="11" w:name="Xf7d6edf19ec0de7c92f196b06faaec85bebea84"/>
    <w:p>
      <w:pPr>
        <w:pStyle w:val="Heading2"/>
      </w:pPr>
      <w:r>
        <w:t xml:space="preserve">The growth deceleration is the core debate</w:t>
      </w:r>
    </w:p>
    <w:p>
      <w:pPr>
        <w:pStyle w:val="FirstParagraph"/>
      </w:pPr>
      <w:r>
        <w:t xml:space="preserve">The revenue growth trajectory tells the story cleanly:</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Quarter</w:t>
            </w:r>
          </w:p>
        </w:tc>
        <w:tc>
          <w:tcPr/>
          <w:p>
            <w:pPr>
              <w:pStyle w:val="Compact"/>
            </w:pPr>
            <w:r>
              <w:t xml:space="preserve">Revenue</w:t>
            </w:r>
          </w:p>
        </w:tc>
        <w:tc>
          <w:tcPr/>
          <w:p>
            <w:pPr>
              <w:pStyle w:val="Compact"/>
            </w:pPr>
            <w:r>
              <w:t xml:space="preserve">YoY growth</w:t>
            </w:r>
          </w:p>
        </w:tc>
      </w:tr>
      <w:tr>
        <w:tc>
          <w:tcPr/>
          <w:p>
            <w:pPr>
              <w:pStyle w:val="Compact"/>
            </w:pPr>
            <w:r>
              <w:t xml:space="preserve">Q1 2025</w:t>
            </w:r>
          </w:p>
        </w:tc>
        <w:tc>
          <w:tcPr/>
          <w:p>
            <w:pPr>
              <w:pStyle w:val="Compact"/>
            </w:pPr>
            <w:r>
              <w:t xml:space="preserve">$616M</w:t>
            </w:r>
          </w:p>
        </w:tc>
        <w:tc>
          <w:tcPr/>
          <w:p>
            <w:pPr>
              <w:pStyle w:val="Compact"/>
            </w:pPr>
            <w:r>
              <w:t xml:space="preserve">+25%</w:t>
            </w:r>
          </w:p>
        </w:tc>
      </w:tr>
      <w:tr>
        <w:tc>
          <w:tcPr/>
          <w:p>
            <w:pPr>
              <w:pStyle w:val="Compact"/>
            </w:pPr>
            <w:r>
              <w:t xml:space="preserve">Q2 2025</w:t>
            </w:r>
          </w:p>
        </w:tc>
        <w:tc>
          <w:tcPr/>
          <w:p>
            <w:pPr>
              <w:pStyle w:val="Compact"/>
            </w:pPr>
            <w:r>
              <w:t xml:space="preserve">$694M</w:t>
            </w:r>
          </w:p>
        </w:tc>
        <w:tc>
          <w:tcPr/>
          <w:p>
            <w:pPr>
              <w:pStyle w:val="Compact"/>
            </w:pPr>
            <w:r>
              <w:t xml:space="preserve">+19%</w:t>
            </w:r>
          </w:p>
        </w:tc>
      </w:tr>
      <w:tr>
        <w:tc>
          <w:tcPr/>
          <w:p>
            <w:pPr>
              <w:pStyle w:val="Compact"/>
            </w:pPr>
            <w:r>
              <w:t xml:space="preserve">Q3 2025</w:t>
            </w:r>
          </w:p>
        </w:tc>
        <w:tc>
          <w:tcPr/>
          <w:p>
            <w:pPr>
              <w:pStyle w:val="Compact"/>
            </w:pPr>
            <w:r>
              <w:t xml:space="preserve">$739M</w:t>
            </w:r>
          </w:p>
        </w:tc>
        <w:tc>
          <w:tcPr/>
          <w:p>
            <w:pPr>
              <w:pStyle w:val="Compact"/>
            </w:pPr>
            <w:r>
              <w:t xml:space="preserve">+18%</w:t>
            </w:r>
          </w:p>
        </w:tc>
      </w:tr>
      <w:tr>
        <w:tc>
          <w:tcPr/>
          <w:p>
            <w:pPr>
              <w:pStyle w:val="Compact"/>
            </w:pPr>
            <w:r>
              <w:t xml:space="preserve">Q4 2025</w:t>
            </w:r>
          </w:p>
        </w:tc>
        <w:tc>
          <w:tcPr/>
          <w:p>
            <w:pPr>
              <w:pStyle w:val="Compact"/>
            </w:pPr>
            <w:r>
              <w:t xml:space="preserve">$847M</w:t>
            </w:r>
          </w:p>
        </w:tc>
        <w:tc>
          <w:tcPr/>
          <w:p>
            <w:pPr>
              <w:pStyle w:val="Compact"/>
            </w:pPr>
            <w:r>
              <w:t xml:space="preserve">+14%</w:t>
            </w:r>
          </w:p>
        </w:tc>
      </w:tr>
      <w:tr>
        <w:tc>
          <w:tcPr/>
          <w:p>
            <w:pPr>
              <w:pStyle w:val="Compact"/>
            </w:pPr>
            <w:r>
              <w:t xml:space="preserve">Q1 2026</w:t>
            </w:r>
          </w:p>
        </w:tc>
        <w:tc>
          <w:tcPr/>
          <w:p>
            <w:pPr>
              <w:pStyle w:val="Compact"/>
            </w:pPr>
            <w:r>
              <w:t xml:space="preserve">$689M</w:t>
            </w:r>
          </w:p>
        </w:tc>
        <w:tc>
          <w:tcPr/>
          <w:p>
            <w:pPr>
              <w:pStyle w:val="Compact"/>
            </w:pPr>
            <w:r>
              <w:t xml:space="preserve">+12%</w:t>
            </w:r>
          </w:p>
        </w:tc>
      </w:tr>
      <w:tr>
        <w:tc>
          <w:tcPr/>
          <w:p>
            <w:pPr>
              <w:pStyle w:val="Compact"/>
            </w:pPr>
            <w:r>
              <w:rPr>
                <w:b/>
                <w:bCs/>
              </w:rPr>
              <w:t xml:space="preserve">Q2 2026 (guide)</w:t>
            </w:r>
          </w:p>
        </w:tc>
        <w:tc>
          <w:tcPr/>
          <w:p>
            <w:pPr>
              <w:pStyle w:val="Compact"/>
            </w:pPr>
            <w:r>
              <w:rPr>
                <w:b/>
                <w:bCs/>
              </w:rPr>
              <w:t xml:space="preserve">≥$750M</w:t>
            </w:r>
          </w:p>
        </w:tc>
        <w:tc>
          <w:tcPr/>
          <w:p>
            <w:pPr>
              <w:pStyle w:val="Compact"/>
            </w:pPr>
            <w:r>
              <w:rPr>
                <w:b/>
                <w:bCs/>
              </w:rPr>
              <w:t xml:space="preserve">~+8%</w:t>
            </w:r>
          </w:p>
        </w:tc>
      </w:tr>
    </w:tbl>
    <w:p>
      <w:pPr>
        <w:pStyle w:val="BodyText"/>
      </w:pPr>
      <w:r>
        <w:t xml:space="preserve">Full-year 2025 landed at</w:t>
      </w:r>
      <w:r>
        <w:t xml:space="preserve"> </w:t>
      </w:r>
      <w:r>
        <w:rPr>
          <w:b/>
          <w:bCs/>
        </w:rPr>
        <w:t xml:space="preserve">$2.9B revenue (+18%), $1.20B adjusted EBITDA (41% margin), and $1.77 non-GAAP EPS</w:t>
      </w:r>
      <w:r>
        <w:t xml:space="preserve">, on $13.4B of gross spend with &gt;95% customer retention (now 12+ consecutive years).</w:t>
      </w:r>
    </w:p>
    <w:p>
      <w:pPr>
        <w:pStyle w:val="BodyText"/>
      </w:pPr>
      <w:r>
        <w:t xml:space="preserve">Management frames the slowdown as</w:t>
      </w:r>
      <w:r>
        <w:t xml:space="preserve"> </w:t>
      </w:r>
      <w:r>
        <w:rPr>
          <w:b/>
          <w:bCs/>
        </w:rPr>
        <w:t xml:space="preserve">cyclical, not structural</w:t>
      </w:r>
      <w:r>
        <w:t xml:space="preserve"> </w:t>
      </w:r>
      <w:r>
        <w:t xml:space="preserve">— pointing to a "more complex" 2026 macro (tariffs, geopolitical tension, CPG/auto softness) and arguing that most of its revenue comes from large Fortune 500 brand advertisers that are more macro-sensitive. Bears argue at least part of it is</w:t>
      </w:r>
      <w:r>
        <w:t xml:space="preserve"> </w:t>
      </w:r>
      <w:r>
        <w:rPr>
          <w:b/>
          <w:bCs/>
        </w:rPr>
        <w:t xml:space="preserve">secular/competitive</w:t>
      </w:r>
      <w:r>
        <w:t xml:space="preserve"> </w:t>
      </w:r>
      <w:r>
        <w:t xml:space="preserve">(share loss to Amazon and walled gardens).</w:t>
      </w:r>
      <w:r>
        <w:t xml:space="preserve"> </w:t>
      </w:r>
      <w:r>
        <w:rPr>
          <w:b/>
          <w:bCs/>
        </w:rPr>
        <w:t xml:space="preserve">The single most important question tomorrow is whether Q3 guidance signals stabilization/reacceleration or continued deceleration toward high-single-digit growth.</w:t>
      </w:r>
    </w:p>
    <w:p>
      <w:r>
        <w:pict>
          <v:rect style="width:0;height:1.5pt" o:hralign="center" o:hrstd="t" o:hr="t"/>
        </w:pict>
      </w:r>
    </w:p>
    <w:bookmarkEnd w:id="11"/>
    <w:bookmarkStart w:id="12" w:name="Xab9145e37b0104fee526ffc5b232e58670be327"/>
    <w:p>
      <w:pPr>
        <w:pStyle w:val="Heading2"/>
      </w:pPr>
      <w:r>
        <w:t xml:space="preserve">The overhangs that broke the stock in 2026</w:t>
      </w:r>
    </w:p>
    <w:p>
      <w:pPr>
        <w:pStyle w:val="FirstParagraph"/>
      </w:pPr>
      <w:r>
        <w:t xml:space="preserve">Three company-specific issues, layered on top of the macro, drove the collapse:</w:t>
      </w:r>
    </w:p>
    <w:p>
      <w:pPr>
        <w:numPr>
          <w:ilvl w:val="0"/>
          <w:numId w:val="1001"/>
        </w:numPr>
      </w:pPr>
      <w:r>
        <w:rPr>
          <w:b/>
          <w:bCs/>
        </w:rPr>
        <w:t xml:space="preserve">Agency disputes / fee transparency.</w:t>
      </w:r>
      <w:r>
        <w:t xml:space="preserve"> </w:t>
      </w:r>
      <w:r>
        <w:t xml:space="preserve">A highly public dispute with</w:t>
      </w:r>
      <w:r>
        <w:t xml:space="preserve"> </w:t>
      </w:r>
      <w:r>
        <w:rPr>
          <w:b/>
          <w:bCs/>
        </w:rPr>
        <w:t xml:space="preserve">Publicis</w:t>
      </w:r>
      <w:r>
        <w:t xml:space="preserve"> </w:t>
      </w:r>
      <w:r>
        <w:t xml:space="preserve">over DSP fees and transparency ran for months before the two sides settled around mid-June 2026. Separately,</w:t>
      </w:r>
      <w:r>
        <w:t xml:space="preserve"> </w:t>
      </w:r>
      <w:r>
        <w:rPr>
          <w:b/>
          <w:bCs/>
        </w:rPr>
        <w:t xml:space="preserve">Omnicom launched a third-party ("Big Four") audit</w:t>
      </w:r>
      <w:r>
        <w:t xml:space="preserve"> </w:t>
      </w:r>
      <w:r>
        <w:t xml:space="preserve">of its TTD agreement in March 2026 following allegations around DSP fees and opt-ins — the stock fell ~8–10% on that news. Omnicom's preliminary internal review reportedly found no compliance issues, but the audit itself damaged trust. On the Q1 call, Jeff Green tried to defuse the Publicis narrative as "overdramatized," noting billions in business since 2018 and ongoing negotiations.</w:t>
      </w:r>
      <w:r>
        <w:t xml:space="preserve"> </w:t>
      </w:r>
      <w:r>
        <w:rPr>
          <w:b/>
          <w:bCs/>
        </w:rPr>
        <w:t xml:space="preserve">Look for an update on the Omnicom audit outcome, the post-settlement Publicis relationship, and any read on agency-driven spend.</w:t>
      </w:r>
    </w:p>
    <w:p>
      <w:pPr>
        <w:numPr>
          <w:ilvl w:val="0"/>
          <w:numId w:val="1001"/>
        </w:numPr>
      </w:pPr>
      <w:r>
        <w:rPr>
          <w:b/>
          <w:bCs/>
        </w:rPr>
        <w:t xml:space="preserve">Amazon / Big Tech competition.</w:t>
      </w:r>
      <w:r>
        <w:t xml:space="preserve"> </w:t>
      </w:r>
      <w:r>
        <w:t xml:space="preserve">Amazon DSP is increasingly cited as a credible alternative, and industry commentary suggests TTD advertisers are "shopping around." Green's counter is objectivity (TTD owns no media) and its retail-data breadth — he claims TTD's marketplace represents &gt;80% of top U.S. retailer sales vs. Amazon's &lt;15% of U.S. retail. Notably, TTD says it won back a large pharma advertiser from Amazon PG with a JBP that lifts spend +114% YoY.</w:t>
      </w:r>
      <w:r>
        <w:t xml:space="preserve"> </w:t>
      </w:r>
      <w:r>
        <w:rPr>
          <w:b/>
          <w:bCs/>
        </w:rPr>
        <w:t xml:space="preserve">Competitive/share commentary will be scrutinized.</w:t>
      </w:r>
    </w:p>
    <w:p>
      <w:pPr>
        <w:numPr>
          <w:ilvl w:val="0"/>
          <w:numId w:val="1001"/>
        </w:numPr>
      </w:pPr>
      <w:r>
        <w:rPr>
          <w:b/>
          <w:bCs/>
        </w:rPr>
        <w:t xml:space="preserve">Management turnover.</w:t>
      </w:r>
      <w:r>
        <w:t xml:space="preserve"> </w:t>
      </w:r>
      <w:r>
        <w:t xml:space="preserve">This is a genuine red flag. Alex Kayyal was named CFO in August 2025, yet by the Q1 2026 call the company was operating with</w:t>
      </w:r>
      <w:r>
        <w:t xml:space="preserve"> </w:t>
      </w:r>
      <w:r>
        <w:rPr>
          <w:b/>
          <w:bCs/>
        </w:rPr>
        <w:t xml:space="preserve">Tahnil Davis as</w:t>
      </w:r>
      <w:r>
        <w:rPr>
          <w:b/>
          <w:bCs/>
        </w:rPr>
        <w:t xml:space="preserve"> </w:t>
      </w:r>
      <w:r>
        <w:rPr>
          <w:b/>
          <w:bCs/>
          <w:i/>
          <w:iCs/>
        </w:rPr>
        <w:t xml:space="preserve">interim</w:t>
      </w:r>
      <w:r>
        <w:rPr>
          <w:b/>
          <w:bCs/>
        </w:rPr>
        <w:t xml:space="preserve"> </w:t>
      </w:r>
      <w:r>
        <w:rPr>
          <w:b/>
          <w:bCs/>
        </w:rPr>
        <w:t xml:space="preserve">CFO</w:t>
      </w:r>
      <w:r>
        <w:t xml:space="preserve"> </w:t>
      </w:r>
      <w:r>
        <w:t xml:space="preserve">— implying another quick departure. Longtime</w:t>
      </w:r>
      <w:r>
        <w:t xml:space="preserve"> </w:t>
      </w:r>
      <w:r>
        <w:rPr>
          <w:b/>
          <w:bCs/>
        </w:rPr>
        <w:t xml:space="preserve">Chief Strategy Officer Samantha Jacobson left to join OpenAI</w:t>
      </w:r>
      <w:r>
        <w:t xml:space="preserve"> </w:t>
      </w:r>
      <w:r>
        <w:t xml:space="preserve">(staying on the board). The board has been reshuffled (Drew Vollero added; Penry Price added as director and comp-committee chair in July 2026).</w:t>
      </w:r>
      <w:r>
        <w:t xml:space="preserve"> </w:t>
      </w:r>
      <w:r>
        <w:rPr>
          <w:b/>
          <w:bCs/>
        </w:rPr>
        <w:t xml:space="preserve">Any update on a permanent CFO would be a positive de-risking event.</w:t>
      </w:r>
    </w:p>
    <w:p>
      <w:r>
        <w:pict>
          <v:rect style="width:0;height:1.5pt" o:hralign="center" o:hrstd="t" o:hr="t"/>
        </w:pict>
      </w:r>
    </w:p>
    <w:bookmarkEnd w:id="12"/>
    <w:bookmarkStart w:id="13" w:name="whats-actually-going-right-the-bull-case"/>
    <w:p>
      <w:pPr>
        <w:pStyle w:val="Heading2"/>
      </w:pPr>
      <w:r>
        <w:t xml:space="preserve">What's actually going right (the bull case)</w:t>
      </w:r>
    </w:p>
    <w:p>
      <w:pPr>
        <w:pStyle w:val="Compact"/>
        <w:numPr>
          <w:ilvl w:val="0"/>
          <w:numId w:val="1002"/>
        </w:numPr>
      </w:pPr>
      <w:r>
        <w:rPr>
          <w:b/>
          <w:bCs/>
        </w:rPr>
        <w:t xml:space="preserve">Profitability and cash generation remain strong</w:t>
      </w:r>
      <w:r>
        <w:t xml:space="preserve"> </w:t>
      </w:r>
      <w:r>
        <w:t xml:space="preserve">— ~</w:t>
      </w:r>
      <m:oMath>
        <m:r>
          <m:t>1.2</m:t>
        </m:r>
        <m:r>
          <m:t>B</m:t>
        </m:r>
        <m:r>
          <m:t>a</m:t>
        </m:r>
        <m:r>
          <m:t>d</m:t>
        </m:r>
        <m:r>
          <m:t>j</m:t>
        </m:r>
        <m:r>
          <m:t>u</m:t>
        </m:r>
        <m:r>
          <m:t>s</m:t>
        </m:r>
        <m:r>
          <m:t>t</m:t>
        </m:r>
        <m:r>
          <m:t>e</m:t>
        </m:r>
        <m:r>
          <m:t>d</m:t>
        </m:r>
        <m:r>
          <m:t>E</m:t>
        </m:r>
        <m:r>
          <m:t>B</m:t>
        </m:r>
        <m:r>
          <m:t>I</m:t>
        </m:r>
        <m:r>
          <m:t>T</m:t>
        </m:r>
        <m:r>
          <m:t>D</m:t>
        </m:r>
        <m:r>
          <m:t>A</m:t>
        </m:r>
        <m:r>
          <m:t>i</m:t>
        </m:r>
        <m:r>
          <m:t>n</m:t>
        </m:r>
        <m:r>
          <m:t>2025</m:t>
        </m:r>
        <m:r>
          <m:rPr>
            <m:sty m:val="p"/>
          </m:rPr>
          <m:t>,</m:t>
        </m:r>
        <m:r>
          <m:t> </m:t>
        </m:r>
      </m:oMath>
      <w:r>
        <w:t xml:space="preserve">277M Q1 2026 free cash flow, and ~$1.4B cash/short-term investments with no debt.</w:t>
      </w:r>
    </w:p>
    <w:p>
      <w:pPr>
        <w:pStyle w:val="Compact"/>
        <w:numPr>
          <w:ilvl w:val="0"/>
          <w:numId w:val="1002"/>
        </w:numPr>
      </w:pPr>
      <w:r>
        <w:rPr>
          <w:b/>
          <w:bCs/>
        </w:rPr>
        <w:t xml:space="preserve">Commercial momentum:</w:t>
      </w:r>
      <w:r>
        <w:t xml:space="preserve"> </w:t>
      </w:r>
      <w:r>
        <w:t xml:space="preserve">March 2026 was a record month for JBP signings (45 signed); Q1 JBP count grew 55% YoY, with new (ex-renewal) JBP spend +40% YoY.</w:t>
      </w:r>
    </w:p>
    <w:p>
      <w:pPr>
        <w:pStyle w:val="Compact"/>
        <w:numPr>
          <w:ilvl w:val="0"/>
          <w:numId w:val="1002"/>
        </w:numPr>
      </w:pPr>
      <w:r>
        <w:rPr>
          <w:b/>
          <w:bCs/>
        </w:rPr>
        <w:t xml:space="preserve">Product/platform cycle:</w:t>
      </w:r>
      <w:r>
        <w:t xml:space="preserve"> </w:t>
      </w:r>
      <w:r>
        <w:t xml:space="preserve">Kokai/Koa agentic AI (Stagwell as first Koa Agents partner), OpenPath/OpenTTD/OpenAds supply-chain tools, Ventura CTV OS, retail media (Dollar General, Lyft Ads, LinkedIn as first B2B CTV DSP partner), and Audience Unlimited.</w:t>
      </w:r>
    </w:p>
    <w:p>
      <w:pPr>
        <w:pStyle w:val="Compact"/>
        <w:numPr>
          <w:ilvl w:val="0"/>
          <w:numId w:val="1002"/>
        </w:numPr>
      </w:pPr>
      <w:r>
        <w:rPr>
          <w:b/>
          <w:bCs/>
        </w:rPr>
        <w:t xml:space="preserve">Secular tailwinds intact:</w:t>
      </w:r>
      <w:r>
        <w:t xml:space="preserve"> </w:t>
      </w:r>
      <w:r>
        <w:t xml:space="preserve">CTV (low-50s% of business), audio (~6%, fastest-growing channel), international (~18% and growing faster than the U.S.), and a nascent LLM/AI-search ad opportunity Green is bullish on longer-term.</w:t>
      </w:r>
    </w:p>
    <w:p>
      <w:r>
        <w:pict>
          <v:rect style="width:0;height:1.5pt" o:hralign="center" o:hrstd="t" o:hr="t"/>
        </w:pict>
      </w:r>
    </w:p>
    <w:bookmarkEnd w:id="13"/>
    <w:bookmarkStart w:id="14" w:name="valuation--positioning"/>
    <w:p>
      <w:pPr>
        <w:pStyle w:val="Heading2"/>
      </w:pPr>
      <w:r>
        <w:t xml:space="preserve">Valuation &amp; positioning</w:t>
      </w:r>
    </w:p>
    <w:p>
      <w:pPr>
        <w:pStyle w:val="FirstParagraph"/>
      </w:pPr>
      <w:r>
        <w:t xml:space="preserve">At ~</w:t>
      </w:r>
      <m:oMath>
        <m:r>
          <m:t>19</m:t>
        </m:r>
        <m:r>
          <m:rPr>
            <m:sty m:val="p"/>
          </m:rPr>
          <m:t>(</m:t>
        </m:r>
        <m:r>
          <m:rPr>
            <m:sty m:val="p"/>
          </m:rPr>
          <m:t>≈</m:t>
        </m:r>
        <m:r>
          <m:t>475</m:t>
        </m:r>
        <m:r>
          <m:t>M</m:t>
        </m:r>
        <m:r>
          <m:t>d</m:t>
        </m:r>
        <m:r>
          <m:t>i</m:t>
        </m:r>
        <m:r>
          <m:t>l</m:t>
        </m:r>
        <m:r>
          <m:t>u</m:t>
        </m:r>
        <m:r>
          <m:t>t</m:t>
        </m:r>
        <m:r>
          <m:t>e</m:t>
        </m:r>
        <m:r>
          <m:t>d</m:t>
        </m:r>
        <m:r>
          <m:t>s</m:t>
        </m:r>
        <m:r>
          <m:t>h</m:t>
        </m:r>
        <m:r>
          <m:t>a</m:t>
        </m:r>
        <m:r>
          <m:t>r</m:t>
        </m:r>
        <m:r>
          <m:t>e</m:t>
        </m:r>
        <m:r>
          <m:t>s</m:t>
        </m:r>
        <m:r>
          <m:rPr>
            <m:sty m:val="p"/>
          </m:rPr>
          <m:t>→</m:t>
        </m:r>
        <m:r>
          <m:rPr>
            <m:sty m:val="p"/>
          </m:rPr>
          <m:t>*</m:t>
        </m:r>
        <m:r>
          <m:rPr>
            <m:sty m:val="p"/>
          </m:rPr>
          <m:t>*</m:t>
        </m:r>
        <m:r>
          <m:t> </m:t>
        </m:r>
      </m:oMath>
      <w:r>
        <w:t xml:space="preserve">9B market cap**, roughly</w:t>
      </w:r>
      <w:r>
        <w:t xml:space="preserve"> </w:t>
      </w:r>
      <m:oMath>
        <m:r>
          <m:t>8</m:t>
        </m:r>
        <m:r>
          <m:t>B</m:t>
        </m:r>
        <m:r>
          <m:t>E</m:t>
        </m:r>
        <m:r>
          <m:t>V</m:t>
        </m:r>
        <m:r>
          <m:t>n</m:t>
        </m:r>
        <m:r>
          <m:t>e</m:t>
        </m:r>
        <m:r>
          <m:t>t</m:t>
        </m:r>
        <m:r>
          <m:t>o</m:t>
        </m:r>
        <m:r>
          <m:t>f</m:t>
        </m:r>
        <m:r>
          <m:t>c</m:t>
        </m:r>
        <m:r>
          <m:t>a</m:t>
        </m:r>
        <m:r>
          <m:t>s</m:t>
        </m:r>
        <m:r>
          <m:t>h</m:t>
        </m:r>
        <m:r>
          <m:rPr>
            <m:sty m:val="p"/>
          </m:rPr>
          <m:t>)</m:t>
        </m:r>
        <m:r>
          <m:rPr>
            <m:sty m:val="p"/>
          </m:rPr>
          <m:t>,</m:t>
        </m:r>
        <m:r>
          <m:t>T</m:t>
        </m:r>
        <m:r>
          <m:t>T</m:t>
        </m:r>
        <m:r>
          <m:t>D</m:t>
        </m:r>
        <m:r>
          <m:t>t</m:t>
        </m:r>
        <m:r>
          <m:t>r</m:t>
        </m:r>
        <m:r>
          <m:t>a</m:t>
        </m:r>
        <m:r>
          <m:t>d</m:t>
        </m:r>
        <m:r>
          <m:t>e</m:t>
        </m:r>
        <m:r>
          <m:t>s</m:t>
        </m:r>
        <m:r>
          <m:t>a</m:t>
        </m:r>
        <m:r>
          <m:t>r</m:t>
        </m:r>
        <m:r>
          <m:t>o</m:t>
        </m:r>
        <m:r>
          <m:t>u</m:t>
        </m:r>
        <m:r>
          <m:t>n</m:t>
        </m:r>
        <m:r>
          <m:t>d</m:t>
        </m:r>
        <m:r>
          <m:rPr>
            <m:sty m:val="p"/>
          </m:rPr>
          <m:t>*</m:t>
        </m:r>
        <m:r>
          <m:rPr>
            <m:sty m:val="p"/>
          </m:rPr>
          <m:t>*</m:t>
        </m:r>
        <m:r>
          <m:t> </m:t>
        </m:r>
        <m:r>
          <m:t>7</m:t>
        </m:r>
        <m:r>
          <m:t>x</m:t>
        </m:r>
        <m:r>
          <m:t>t</m:t>
        </m:r>
        <m:r>
          <m:t>r</m:t>
        </m:r>
        <m:r>
          <m:t>a</m:t>
        </m:r>
        <m:r>
          <m:t>i</m:t>
        </m:r>
        <m:r>
          <m:t>l</m:t>
        </m:r>
        <m:r>
          <m:t>i</m:t>
        </m:r>
        <m:r>
          <m:t>n</m:t>
        </m:r>
        <m:r>
          <m:t>g</m:t>
        </m:r>
        <m:r>
          <m:t>a</m:t>
        </m:r>
        <m:r>
          <m:t>d</m:t>
        </m:r>
        <m:r>
          <m:t>j</m:t>
        </m:r>
        <m:r>
          <m:t>u</m:t>
        </m:r>
        <m:r>
          <m:t>s</m:t>
        </m:r>
        <m:r>
          <m:t>t</m:t>
        </m:r>
        <m:r>
          <m:t>e</m:t>
        </m:r>
        <m:r>
          <m:t>d</m:t>
        </m:r>
        <m:r>
          <m:t>E</m:t>
        </m:r>
        <m:r>
          <m:t>B</m:t>
        </m:r>
        <m:r>
          <m:t>I</m:t>
        </m:r>
        <m:r>
          <m:t>T</m:t>
        </m:r>
        <m:r>
          <m:t>D</m:t>
        </m:r>
        <m:r>
          <m:t>A</m:t>
        </m:r>
        <m:r>
          <m:t>a</m:t>
        </m:r>
        <m:r>
          <m:t>n</m:t>
        </m:r>
        <m:r>
          <m:t>d</m:t>
        </m:r>
        <m:r>
          <m:t> </m:t>
        </m:r>
        <m:r>
          <m:t>11</m:t>
        </m:r>
        <m:r>
          <m:t>x</m:t>
        </m:r>
        <m:r>
          <m:t>n</m:t>
        </m:r>
        <m:r>
          <m:t>o</m:t>
        </m:r>
        <m:r>
          <m:t>n</m:t>
        </m:r>
        <m:r>
          <m:rPr>
            <m:sty m:val="p"/>
          </m:rPr>
          <m:t>−</m:t>
        </m:r>
        <m:r>
          <m:t>G</m:t>
        </m:r>
        <m:r>
          <m:t>A</m:t>
        </m:r>
        <m:r>
          <m:t>A</m:t>
        </m:r>
        <m:r>
          <m:t>P</m:t>
        </m:r>
        <m:r>
          <m:t>E</m:t>
        </m:r>
        <m:r>
          <m:t>P</m:t>
        </m:r>
        <m:r>
          <m:t>S</m:t>
        </m:r>
        <m:r>
          <m:rPr>
            <m:sty m:val="p"/>
          </m:rPr>
          <m:t>*</m:t>
        </m:r>
        <m:r>
          <m:rPr>
            <m:sty m:val="p"/>
          </m:rPr>
          <m:t>*</m:t>
        </m:r>
        <m:r>
          <m:rPr>
            <m:sty m:val="p"/>
          </m:rPr>
          <m:t>—</m:t>
        </m:r>
        <m:r>
          <m:t>a</m:t>
        </m:r>
        <m:r>
          <m:t>d</m:t>
        </m:r>
        <m:r>
          <m:t>r</m:t>
        </m:r>
        <m:r>
          <m:t>a</m:t>
        </m:r>
        <m:r>
          <m:t>m</m:t>
        </m:r>
        <m:r>
          <m:t>a</m:t>
        </m:r>
        <m:r>
          <m:t>t</m:t>
        </m:r>
        <m:r>
          <m:t>i</m:t>
        </m:r>
        <m:r>
          <m:t>c</m:t>
        </m:r>
        <m:r>
          <m:t>d</m:t>
        </m:r>
        <m:r>
          <m:t>e</m:t>
        </m:r>
        <m:r>
          <m:rPr>
            <m:sty m:val="p"/>
          </m:rPr>
          <m:t>−</m:t>
        </m:r>
        <m:r>
          <m:t>r</m:t>
        </m:r>
        <m:r>
          <m:t>a</m:t>
        </m:r>
        <m:r>
          <m:t>t</m:t>
        </m:r>
        <m:r>
          <m:t>i</m:t>
        </m:r>
        <m:r>
          <m:t>n</m:t>
        </m:r>
        <m:r>
          <m:t>g</m:t>
        </m:r>
        <m:r>
          <m:t>f</m:t>
        </m:r>
        <m:r>
          <m:t>r</m:t>
        </m:r>
        <m:r>
          <m:t>o</m:t>
        </m:r>
        <m:r>
          <m:t>m</m:t>
        </m:r>
        <m:r>
          <m:t>t</m:t>
        </m:r>
        <m:r>
          <m:t>h</m:t>
        </m:r>
        <m:r>
          <m:t>e</m:t>
        </m:r>
        <m:r>
          <m:t>30</m:t>
        </m:r>
        <m:r>
          <m:rPr>
            <m:sty m:val="p"/>
          </m:rPr>
          <m:t>–</m:t>
        </m:r>
        <m:r>
          <m:t>50</m:t>
        </m:r>
        <m:r>
          <m:t>x</m:t>
        </m:r>
        <m:r>
          <m:rPr>
            <m:sty m:val="p"/>
          </m:rPr>
          <m:t>+</m:t>
        </m:r>
        <m:r>
          <m:t>E</m:t>
        </m:r>
        <m:r>
          <m:t>B</m:t>
        </m:r>
        <m:r>
          <m:t>I</m:t>
        </m:r>
        <m:r>
          <m:t>T</m:t>
        </m:r>
        <m:r>
          <m:t>D</m:t>
        </m:r>
        <m:r>
          <m:t>A</m:t>
        </m:r>
        <m:r>
          <m:t>m</m:t>
        </m:r>
        <m:r>
          <m:t>u</m:t>
        </m:r>
        <m:r>
          <m:t>l</m:t>
        </m:r>
        <m:r>
          <m:t>t</m:t>
        </m:r>
        <m:r>
          <m:t>i</m:t>
        </m:r>
        <m:r>
          <m:t>p</m:t>
        </m:r>
        <m:r>
          <m:t>l</m:t>
        </m:r>
        <m:r>
          <m:t>e</m:t>
        </m:r>
        <m:r>
          <m:t>s</m:t>
        </m:r>
        <m:r>
          <m:t>i</m:t>
        </m:r>
        <m:r>
          <m:t>t</m:t>
        </m:r>
        <m:r>
          <m:t>h</m:t>
        </m:r>
        <m:r>
          <m:t>i</m:t>
        </m:r>
        <m:r>
          <m:t>s</m:t>
        </m:r>
        <m:r>
          <m:t>t</m:t>
        </m:r>
        <m:r>
          <m:t>o</m:t>
        </m:r>
        <m:r>
          <m:t>r</m:t>
        </m:r>
        <m:r>
          <m:t>i</m:t>
        </m:r>
        <m:r>
          <m:t>c</m:t>
        </m:r>
        <m:r>
          <m:t>a</m:t>
        </m:r>
        <m:r>
          <m:t>l</m:t>
        </m:r>
        <m:r>
          <m:t>l</m:t>
        </m:r>
        <m:r>
          <m:t>y</m:t>
        </m:r>
        <m:r>
          <m:t>c</m:t>
        </m:r>
        <m:r>
          <m:t>o</m:t>
        </m:r>
        <m:r>
          <m:t>m</m:t>
        </m:r>
        <m:r>
          <m:t>m</m:t>
        </m:r>
        <m:r>
          <m:t>a</m:t>
        </m:r>
        <m:r>
          <m:t>n</m:t>
        </m:r>
        <m:r>
          <m:t>d</m:t>
        </m:r>
        <m:r>
          <m:t>e</m:t>
        </m:r>
        <m:r>
          <m:t>d</m:t>
        </m:r>
        <m:r>
          <m:rPr>
            <m:sty m:val="p"/>
          </m:rPr>
          <m:t>.</m:t>
        </m:r>
        <m:r>
          <m:t>T</m:t>
        </m:r>
        <m:r>
          <m:t>h</m:t>
        </m:r>
        <m:r>
          <m:t>e</m:t>
        </m:r>
        <m:r>
          <m:t>c</m:t>
        </m:r>
        <m:r>
          <m:t>o</m:t>
        </m:r>
        <m:r>
          <m:t>m</m:t>
        </m:r>
        <m:r>
          <m:t>p</m:t>
        </m:r>
        <m:r>
          <m:t>a</m:t>
        </m:r>
        <m:r>
          <m:t>n</m:t>
        </m:r>
        <m:r>
          <m:t>y</m:t>
        </m:r>
        <m:r>
          <m:t>h</m:t>
        </m:r>
        <m:r>
          <m:t>a</m:t>
        </m:r>
        <m:r>
          <m:t>s</m:t>
        </m:r>
        <m:r>
          <m:t>b</m:t>
        </m:r>
        <m:r>
          <m:t>e</m:t>
        </m:r>
        <m:r>
          <m:t>e</m:t>
        </m:r>
        <m:r>
          <m:t>n</m:t>
        </m:r>
        <m:r>
          <m:t>a</m:t>
        </m:r>
        <m:r>
          <m:t>g</m:t>
        </m:r>
        <m:r>
          <m:t>g</m:t>
        </m:r>
        <m:r>
          <m:t>r</m:t>
        </m:r>
        <m:r>
          <m:t>e</m:t>
        </m:r>
        <m:r>
          <m:t>s</m:t>
        </m:r>
        <m:r>
          <m:t>s</m:t>
        </m:r>
        <m:r>
          <m:t>i</m:t>
        </m:r>
        <m:r>
          <m:t>v</m:t>
        </m:r>
        <m:r>
          <m:t>e</m:t>
        </m:r>
        <m:r>
          <m:t>l</m:t>
        </m:r>
        <m:r>
          <m:t>y</m:t>
        </m:r>
        <m:r>
          <m:t>b</m:t>
        </m:r>
        <m:r>
          <m:t>u</m:t>
        </m:r>
        <m:r>
          <m:t>y</m:t>
        </m:r>
        <m:r>
          <m:t>i</m:t>
        </m:r>
        <m:r>
          <m:t>n</m:t>
        </m:r>
        <m:r>
          <m:t>g</m:t>
        </m:r>
        <m:r>
          <m:t>b</m:t>
        </m:r>
        <m:r>
          <m:t>a</m:t>
        </m:r>
        <m:r>
          <m:t>c</m:t>
        </m:r>
        <m:r>
          <m:t>k</m:t>
        </m:r>
        <m:r>
          <m:t>s</m:t>
        </m:r>
        <m:r>
          <m:t>t</m:t>
        </m:r>
        <m:r>
          <m:t>o</m:t>
        </m:r>
        <m:r>
          <m:t>c</m:t>
        </m:r>
        <m:r>
          <m:t>k</m:t>
        </m:r>
        <m:r>
          <m:rPr>
            <m:sty m:val="p"/>
          </m:rPr>
          <m:t>(</m:t>
        </m:r>
        <m:r>
          <m:rPr>
            <m:sty m:val="p"/>
          </m:rPr>
          <m:t>*</m:t>
        </m:r>
        <m:r>
          <m:rPr>
            <m:sty m:val="p"/>
          </m:rPr>
          <m:t>*</m:t>
        </m:r>
      </m:oMath>
      <w:r>
        <w:t xml:space="preserve">1.4B in 2025 at an average $52.60** — well above today's price, a painful look in hindsight;</w:t>
      </w:r>
      <w:r>
        <w:t xml:space="preserve"> </w:t>
      </w:r>
      <m:oMath>
        <m:r>
          <m:t>164</m:t>
        </m:r>
        <m:r>
          <m:t>M</m:t>
        </m:r>
        <m:r>
          <m:t>m</m:t>
        </m:r>
        <m:r>
          <m:t>o</m:t>
        </m:r>
        <m:r>
          <m:t>r</m:t>
        </m:r>
        <m:r>
          <m:t>e</m:t>
        </m:r>
        <m:r>
          <m:t>i</m:t>
        </m:r>
        <m:r>
          <m:t>n</m:t>
        </m:r>
        <m:r>
          <m:t>Q</m:t>
        </m:r>
        <m:r>
          <m:t>1</m:t>
        </m:r>
        <m:r>
          <m:t>2026</m:t>
        </m:r>
        <m:r>
          <m:rPr>
            <m:sty m:val="p"/>
          </m:rPr>
          <m:t>)</m:t>
        </m:r>
        <m:r>
          <m:rPr>
            <m:sty m:val="p"/>
          </m:rPr>
          <m:t>,</m:t>
        </m:r>
        <m:r>
          <m:t>w</m:t>
        </m:r>
        <m:r>
          <m:t>i</m:t>
        </m:r>
        <m:r>
          <m:t>t</m:t>
        </m:r>
        <m:r>
          <m:t>h</m:t>
        </m:r>
        <m:r>
          <m:t> </m:t>
        </m:r>
      </m:oMath>
      <w:r>
        <w:t xml:space="preserve">327M remaining on authorization as of March 31, 2026. Buyback pace at these depressed levels is worth watching.</w:t>
      </w:r>
    </w:p>
    <w:p>
      <w:pPr>
        <w:pStyle w:val="BodyText"/>
      </w:pPr>
      <w:r>
        <w:rPr>
          <w:b/>
          <w:bCs/>
        </w:rPr>
        <w:t xml:space="preserve">Setup:</w:t>
      </w:r>
      <w:r>
        <w:t xml:space="preserve"> </w:t>
      </w:r>
      <w:r>
        <w:t xml:space="preserve">TTD is a notoriously volatile earnings mover (down ~38% on last year's Q2 print). Expect a large implied move. Because sentiment and positioning are so bearish and the guidance bar is low, the asymmetry may be less one-sided than in recent quarters — but a growth number decelerating toward the high-single digits, weak Q3 guidance, an unfavorable audit update, or no permanent CFO could all reignite the downtrend.</w:t>
      </w:r>
    </w:p>
    <w:p>
      <w:r>
        <w:pict>
          <v:rect style="width:0;height:1.5pt" o:hralign="center" o:hrstd="t" o:hr="t"/>
        </w:pict>
      </w:r>
    </w:p>
    <w:bookmarkEnd w:id="14"/>
    <w:bookmarkStart w:id="15" w:name="checklist-for-the-print"/>
    <w:p>
      <w:pPr>
        <w:pStyle w:val="Heading2"/>
      </w:pPr>
      <w:r>
        <w:t xml:space="preserve">Checklist for the print</w:t>
      </w:r>
    </w:p>
    <w:p>
      <w:pPr>
        <w:pStyle w:val="Compact"/>
        <w:numPr>
          <w:ilvl w:val="0"/>
          <w:numId w:val="1003"/>
        </w:numPr>
      </w:pPr>
      <w:r>
        <w:rPr>
          <w:b/>
          <w:bCs/>
        </w:rPr>
        <w:t xml:space="preserve">Revenue vs. ~$750–752M</w:t>
      </w:r>
      <w:r>
        <w:t xml:space="preserve"> </w:t>
      </w:r>
      <w:r>
        <w:t xml:space="preserve">and the</w:t>
      </w:r>
      <w:r>
        <w:t xml:space="preserve"> </w:t>
      </w:r>
      <w:r>
        <w:rPr>
          <w:i/>
          <w:iCs/>
        </w:rPr>
        <w:t xml:space="preserve">size</w:t>
      </w:r>
      <w:r>
        <w:t xml:space="preserve"> </w:t>
      </w:r>
      <w:r>
        <w:t xml:space="preserve">of any beat.</w:t>
      </w:r>
    </w:p>
    <w:p>
      <w:pPr>
        <w:pStyle w:val="Compact"/>
        <w:numPr>
          <w:ilvl w:val="0"/>
          <w:numId w:val="1003"/>
        </w:numPr>
      </w:pPr>
      <w:r>
        <w:rPr>
          <w:b/>
          <w:bCs/>
        </w:rPr>
        <w:t xml:space="preserve">Q3 2026 guidance</w:t>
      </w:r>
      <w:r>
        <w:t xml:space="preserve"> </w:t>
      </w:r>
      <w:r>
        <w:t xml:space="preserve">— the tell on stabilization vs. further deceleration.</w:t>
      </w:r>
    </w:p>
    <w:p>
      <w:pPr>
        <w:pStyle w:val="Compact"/>
        <w:numPr>
          <w:ilvl w:val="0"/>
          <w:numId w:val="1003"/>
        </w:numPr>
      </w:pPr>
      <w:r>
        <w:rPr>
          <w:b/>
          <w:bCs/>
        </w:rPr>
        <w:t xml:space="preserve">FY margin math</w:t>
      </w:r>
      <w:r>
        <w:t xml:space="preserve"> </w:t>
      </w:r>
      <w:r>
        <w:t xml:space="preserve">— is the "at least 40%" full-year target still credible after a soft H1?</w:t>
      </w:r>
    </w:p>
    <w:p>
      <w:pPr>
        <w:pStyle w:val="Compact"/>
        <w:numPr>
          <w:ilvl w:val="0"/>
          <w:numId w:val="1003"/>
        </w:numPr>
      </w:pPr>
      <w:r>
        <w:rPr>
          <w:b/>
          <w:bCs/>
        </w:rPr>
        <w:t xml:space="preserve">Omnicom audit resolution &amp; agency (Publicis/Omnicom) spend commentary.</w:t>
      </w:r>
    </w:p>
    <w:p>
      <w:pPr>
        <w:pStyle w:val="Compact"/>
        <w:numPr>
          <w:ilvl w:val="0"/>
          <w:numId w:val="1003"/>
        </w:numPr>
      </w:pPr>
      <w:r>
        <w:rPr>
          <w:b/>
          <w:bCs/>
        </w:rPr>
        <w:t xml:space="preserve">Amazon/competitive share</w:t>
      </w:r>
      <w:r>
        <w:t xml:space="preserve"> </w:t>
      </w:r>
      <w:r>
        <w:t xml:space="preserve">dynamics and retention (&gt;95%?).</w:t>
      </w:r>
    </w:p>
    <w:p>
      <w:pPr>
        <w:pStyle w:val="Compact"/>
        <w:numPr>
          <w:ilvl w:val="0"/>
          <w:numId w:val="1003"/>
        </w:numPr>
      </w:pPr>
      <w:r>
        <w:rPr>
          <w:b/>
          <w:bCs/>
        </w:rPr>
        <w:t xml:space="preserve">Permanent CFO</w:t>
      </w:r>
      <w:r>
        <w:t xml:space="preserve"> </w:t>
      </w:r>
      <w:r>
        <w:t xml:space="preserve">and broader leadership stability.</w:t>
      </w:r>
    </w:p>
    <w:p>
      <w:pPr>
        <w:pStyle w:val="Compact"/>
        <w:numPr>
          <w:ilvl w:val="0"/>
          <w:numId w:val="1003"/>
        </w:numPr>
      </w:pPr>
      <w:r>
        <w:rPr>
          <w:b/>
          <w:bCs/>
        </w:rPr>
        <w:t xml:space="preserve">Buyback pace</w:t>
      </w:r>
      <w:r>
        <w:t xml:space="preserve"> </w:t>
      </w:r>
      <w:r>
        <w:t xml:space="preserve">at a ~$19 stock.</w:t>
      </w:r>
    </w:p>
    <w:p>
      <w:pPr>
        <w:pStyle w:val="FirstParagraph"/>
      </w:pPr>
      <w:r>
        <w:rPr>
          <w:i/>
          <w:iCs/>
        </w:rPr>
        <w:t xml:space="preserve">Note: figures above are drawn from TTD's own earnings releases/call (Q2 2025 through Q1 2026), a market-news preview citing Street estimates of ~</w:t>
      </w:r>
      <m:oMath>
        <m:r>
          <m:t>752</m:t>
        </m:r>
        <m:r>
          <m:t>M</m:t>
        </m:r>
        <m:r>
          <m:t>r</m:t>
        </m:r>
        <m:r>
          <m:t>e</m:t>
        </m:r>
        <m:r>
          <m:t>v</m:t>
        </m:r>
        <m:r>
          <m:t>e</m:t>
        </m:r>
        <m:r>
          <m:t>n</m:t>
        </m:r>
        <m:r>
          <m:t>u</m:t>
        </m:r>
        <m:r>
          <m:t>e</m:t>
        </m:r>
        <m:r>
          <m:rPr>
            <m:sty m:val="p"/>
          </m:rPr>
          <m:t>/</m:t>
        </m:r>
        <m:r>
          <m:t> </m:t>
        </m:r>
      </m:oMath>
      <w:r>
        <w:rPr>
          <w:i/>
          <w:iCs/>
        </w:rPr>
        <w:t xml:space="preserve">262M EBITDA, and public reporting on the Publicis dispute and Omnicom audit. Consensus figures can shift into the print; confirm against the latest estimates before the release.</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2026-08-06T01:06:36Z</dcterms:created>
  <dcterms:modified xsi:type="dcterms:W3CDTF">2026-08-06T01:06:36Z</dcterms:modified>
</cp:coreProperties>
</file>

<file path=docProps/custom.xml><?xml version="1.0" encoding="utf-8"?>
<Properties xmlns="http://schemas.openxmlformats.org/officeDocument/2006/custom-properties" xmlns:vt="http://schemas.openxmlformats.org/officeDocument/2006/docPropsVTypes"/>
</file>