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Good, now I have solid confirmation. Let me get one more search on Amazon competitive dynamics and current analyst sentiment/price targets ahead of the print.# The Trade Desk (TTD) — Q2 2026 Earnings Preview</w:t>
      </w:r>
      <w:r>
        <w:t xml:space="preserve"> </w:t>
      </w:r>
      <w:r>
        <w:rPr>
          <w:b/>
          <w:bCs/>
        </w:rPr>
        <w:t xml:space="preserve">Reports: Thursday, August 6, 2026 (after market close)</w:t>
      </w:r>
    </w:p>
    <w:p>
      <w:r>
        <w:pict>
          <v:rect style="width:0;height:1.5pt" o:hralign="center" o:hrstd="t" o:hr="t"/>
        </w:pict>
      </w:r>
    </w:p>
    <w:bookmarkStart w:id="9" w:name="X75f3e9094e25f34d855f58ad7997f794d33bc34"/>
    <w:p>
      <w:pPr>
        <w:pStyle w:val="Heading2"/>
      </w:pPr>
      <w:r>
        <w:t xml:space="preserve">Setting the Scene: A Stock in Freefall Heading Into the Print</w:t>
      </w:r>
    </w:p>
    <w:p>
      <w:pPr>
        <w:pStyle w:val="FirstParagraph"/>
      </w:pPr>
      <w:r>
        <w:t xml:space="preserve">This is not a normal earnings preview. TTD shares have collapsed from roughly $88 a year ago to under $19 today — a decline of nearly 80% — making this one of the most beaten-down large-cap software/ad-tech names heading into a print. The damage has been progressive across three consecutive quarters (a violent gap-down after Q2 2025 results in August, another leg lower after Q4 2025 results in February, and a fresh wave of downgrades after the Q1 2026 miss in May), compounded by an unusual amount of company-specific turmoil layered on top of a decelerating growth story.</w:t>
      </w:r>
    </w:p>
    <w:p>
      <w:pPr>
        <w:pStyle w:val="BodyText"/>
      </w:pPr>
      <w:r>
        <w:t xml:space="preserve">Sentiment is about as negative as it gets for a company that is still profitable and still growing revenue at a high-single-digit-to-low-double-digit rate. The Street heads into Thursday's print expecting</w:t>
      </w:r>
      <w:r>
        <w:t xml:space="preserve"> </w:t>
      </w:r>
      <w:r>
        <w:rPr>
          <w:b/>
          <w:bCs/>
        </w:rPr>
        <w:t xml:space="preserve">revenue growth of roughly 8.4% to ~$752 million and adjusted EBITDA of approximately $262 million</w:t>
      </w:r>
      <w:r>
        <w:t xml:space="preserve">, alongside non-GAAP EPS consensus around $0.41 (flat year-over-year). The average analyst price target sits in the $24 area — implying meaningful upside from current levels even after a wave of target cuts — but ratings and targets have been trimmed repeatedly all year as multiple firms have cut targets and shifted to more cautious stances following recent results.</w:t>
      </w:r>
    </w:p>
    <w:p>
      <w:r>
        <w:pict>
          <v:rect style="width:0;height:1.5pt" o:hralign="center" o:hrstd="t" o:hr="t"/>
        </w:pict>
      </w:r>
    </w:p>
    <w:bookmarkEnd w:id="9"/>
    <w:bookmarkStart w:id="10" w:name="X3e37b17d1577b217b4863ad3ba0f06ac449b403"/>
    <w:p>
      <w:pPr>
        <w:pStyle w:val="Heading2"/>
      </w:pPr>
      <w:r>
        <w:t xml:space="preserve">1. The Numbers: A Real Growth Deceleration</w:t>
      </w:r>
    </w:p>
    <w:p>
      <w:pPr>
        <w:pStyle w:val="FirstParagraph"/>
      </w:pPr>
      <w:r>
        <w:t xml:space="preserve">The core, unavoidable story is deceleration:</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Metric</w:t>
            </w:r>
          </w:p>
        </w:tc>
        <w:tc>
          <w:tcPr/>
          <w:p>
            <w:pPr>
              <w:pStyle w:val="Compact"/>
            </w:pPr>
            <w:r>
              <w:t xml:space="preserve">Q2 2025A</w:t>
            </w:r>
          </w:p>
        </w:tc>
        <w:tc>
          <w:tcPr/>
          <w:p>
            <w:pPr>
              <w:pStyle w:val="Compact"/>
            </w:pPr>
            <w:r>
              <w:t xml:space="preserve">Q4 2025A</w:t>
            </w:r>
          </w:p>
        </w:tc>
        <w:tc>
          <w:tcPr/>
          <w:p>
            <w:pPr>
              <w:pStyle w:val="Compact"/>
            </w:pPr>
            <w:r>
              <w:t xml:space="preserve">Q1 2026A</w:t>
            </w:r>
          </w:p>
        </w:tc>
        <w:tc>
          <w:tcPr/>
          <w:p>
            <w:pPr>
              <w:pStyle w:val="Compact"/>
            </w:pPr>
            <w:r>
              <w:t xml:space="preserve">Q2 2026 Guide</w:t>
            </w:r>
          </w:p>
        </w:tc>
        <w:tc>
          <w:tcPr/>
          <w:p>
            <w:pPr>
              <w:pStyle w:val="Compact"/>
            </w:pPr>
            <w:r>
              <w:t xml:space="preserve">Q2 2026 Consensus</w:t>
            </w:r>
          </w:p>
        </w:tc>
      </w:tr>
      <w:tr>
        <w:tc>
          <w:tcPr/>
          <w:p>
            <w:pPr>
              <w:pStyle w:val="Compact"/>
            </w:pPr>
            <w:r>
              <w:t xml:space="preserve">Revenue</w:t>
            </w:r>
          </w:p>
        </w:tc>
        <w:tc>
          <w:tcPr/>
          <w:p>
            <w:pPr>
              <w:pStyle w:val="Compact"/>
            </w:pPr>
            <w:r>
              <w:t xml:space="preserve">$694M (+19% YoY)</w:t>
            </w:r>
          </w:p>
        </w:tc>
        <w:tc>
          <w:tcPr/>
          <w:p>
            <w:pPr>
              <w:pStyle w:val="Compact"/>
            </w:pPr>
            <w:r>
              <w:t xml:space="preserve">$847M (+14% YoY)</w:t>
            </w:r>
          </w:p>
        </w:tc>
        <w:tc>
          <w:tcPr/>
          <w:p>
            <w:pPr>
              <w:pStyle w:val="Compact"/>
            </w:pPr>
            <w:r>
              <w:t xml:space="preserve">$689M (+12% YoY)</w:t>
            </w:r>
          </w:p>
        </w:tc>
        <w:tc>
          <w:tcPr/>
          <w:p>
            <w:pPr>
              <w:pStyle w:val="Compact"/>
            </w:pPr>
            <w:r>
              <w:t xml:space="preserve">≥$750M (+~8%)</w:t>
            </w:r>
          </w:p>
        </w:tc>
        <w:tc>
          <w:tcPr/>
          <w:p>
            <w:pPr>
              <w:pStyle w:val="Compact"/>
            </w:pPr>
            <w:r>
              <w:t xml:space="preserve">~$752M (+8.4%)</w:t>
            </w:r>
          </w:p>
        </w:tc>
      </w:tr>
      <w:tr>
        <w:tc>
          <w:tcPr/>
          <w:p>
            <w:pPr>
              <w:pStyle w:val="Compact"/>
            </w:pPr>
            <w:r>
              <w:t xml:space="preserve">Adj. EBITDA</w:t>
            </w:r>
          </w:p>
        </w:tc>
        <w:tc>
          <w:tcPr/>
          <w:p>
            <w:pPr>
              <w:pStyle w:val="Compact"/>
            </w:pPr>
            <w:r>
              <w:t xml:space="preserve">$271M (39% margin)</w:t>
            </w:r>
          </w:p>
        </w:tc>
        <w:tc>
          <w:tcPr/>
          <w:p>
            <w:pPr>
              <w:pStyle w:val="Compact"/>
            </w:pPr>
            <w:r>
              <w:t xml:space="preserve">$400M (47% margin)</w:t>
            </w:r>
          </w:p>
        </w:tc>
        <w:tc>
          <w:tcPr/>
          <w:p>
            <w:pPr>
              <w:pStyle w:val="Compact"/>
            </w:pPr>
            <w:r>
              <w:t xml:space="preserve">$206M (30% margin)</w:t>
            </w:r>
          </w:p>
        </w:tc>
        <w:tc>
          <w:tcPr/>
          <w:p>
            <w:pPr>
              <w:pStyle w:val="Compact"/>
            </w:pPr>
            <w:r>
              <w:t xml:space="preserve">~$260M</w:t>
            </w:r>
          </w:p>
        </w:tc>
        <w:tc>
          <w:tcPr/>
          <w:p>
            <w:pPr>
              <w:pStyle w:val="Compact"/>
            </w:pPr>
            <w:r>
              <w:t xml:space="preserve">~$262M</w:t>
            </w:r>
          </w:p>
        </w:tc>
      </w:tr>
      <w:tr>
        <w:tc>
          <w:tcPr/>
          <w:p>
            <w:pPr>
              <w:pStyle w:val="Compact"/>
            </w:pPr>
            <w:r>
              <w:t xml:space="preserve">Non-GAAP EPS</w:t>
            </w:r>
          </w:p>
        </w:tc>
        <w:tc>
          <w:tcPr/>
          <w:p>
            <w:pPr>
              <w:pStyle w:val="Compact"/>
            </w:pPr>
            <w:r>
              <w:t xml:space="preserve">$0.41</w:t>
            </w:r>
          </w:p>
        </w:tc>
        <w:tc>
          <w:tcPr/>
          <w:p>
            <w:pPr>
              <w:pStyle w:val="Compact"/>
            </w:pPr>
            <w:r>
              <w:t xml:space="preserve">$0.59</w:t>
            </w:r>
          </w:p>
        </w:tc>
        <w:tc>
          <w:tcPr/>
          <w:p>
            <w:pPr>
              <w:pStyle w:val="Compact"/>
            </w:pPr>
            <w:r>
              <w:t xml:space="preserve">$0.28</w:t>
            </w:r>
          </w:p>
        </w:tc>
        <w:tc>
          <w:tcPr/>
          <w:p>
            <w:pPr>
              <w:pStyle w:val="Compact"/>
            </w:pPr>
            <w:r>
              <w:t xml:space="preserve">n/a</w:t>
            </w:r>
          </w:p>
        </w:tc>
        <w:tc>
          <w:tcPr/>
          <w:p>
            <w:pPr>
              <w:pStyle w:val="Compact"/>
            </w:pPr>
            <w:r>
              <w:t xml:space="preserve">~$0.41</w:t>
            </w:r>
          </w:p>
        </w:tc>
      </w:tr>
    </w:tbl>
    <w:p>
      <w:pPr>
        <w:pStyle w:val="BodyText"/>
      </w:pPr>
      <w:r>
        <w:t xml:space="preserve">The trend line is stark: growth has stair-stepped down from the high-teens/20s a year ago into the high single digits guided for Q2 2026. For full-year 2025, TTD still delivered</w:t>
      </w:r>
      <w:r>
        <w:t xml:space="preserve"> </w:t>
      </w:r>
      <w:r>
        <w:rPr>
          <w:b/>
          <w:bCs/>
        </w:rPr>
        <w:t xml:space="preserve">$2.9 billion in revenue, up 18%, with adjusted EBITDA of $1.2 billion (41% margin) and net income of $443 million</w:t>
      </w:r>
      <w:r>
        <w:t xml:space="preserve">, so this remains a large, profitable, cash-generative business — but the growth premium that historically justified TTD's rich multiple has eroded quickly, and margin has compressed alongside it (Q1 2026 adjusted EBITDA margin fell to 30% from 34% a year earlier as the company leaned into what management calls a "year of disciplined reinvestment").</w:t>
      </w:r>
    </w:p>
    <w:p>
      <w:pPr>
        <w:pStyle w:val="BodyText"/>
      </w:pPr>
      <w:r>
        <w:rPr>
          <w:b/>
          <w:bCs/>
        </w:rPr>
        <w:t xml:space="preserve">What to watch:</w:t>
      </w:r>
      <w:r>
        <w:t xml:space="preserve"> </w:t>
      </w:r>
      <w:r>
        <w:t xml:space="preserve">Does Q2 revenue come in at or above the "at least $750 million" floor management set, and does the Q3 guide show any sign of stabilization/re-acceleration, or does deceleration continue into the second half? Management has repeatedly said CPG and auto verticals are facing tariff/macro-driven pressure and that easier comps should show up later in 2026 — Q2/Q3 will be an important test of that thesis.</w:t>
      </w:r>
    </w:p>
    <w:bookmarkEnd w:id="10"/>
    <w:bookmarkStart w:id="11" w:name="Xd83fec20fde09ca68c5117533153a402d6b0504"/>
    <w:p>
      <w:pPr>
        <w:pStyle w:val="Heading2"/>
      </w:pPr>
      <w:r>
        <w:t xml:space="preserve">2. The Governance and Leadership Overhaul</w:t>
      </w:r>
    </w:p>
    <w:p>
      <w:pPr>
        <w:pStyle w:val="FirstParagraph"/>
      </w:pPr>
      <w:r>
        <w:t xml:space="preserve">Perhaps the single biggest swing factor for how investors read this print is the sheer amount of executive and board turnover TTD has pushed through in the past twelve months:</w:t>
      </w:r>
    </w:p>
    <w:p>
      <w:pPr>
        <w:pStyle w:val="Compact"/>
        <w:numPr>
          <w:ilvl w:val="0"/>
          <w:numId w:val="1001"/>
        </w:numPr>
      </w:pPr>
      <w:r>
        <w:rPr>
          <w:b/>
          <w:bCs/>
        </w:rPr>
        <w:t xml:space="preserve">CFO churn:</w:t>
      </w:r>
      <w:r>
        <w:t xml:space="preserve"> </w:t>
      </w:r>
      <w:r>
        <w:t xml:space="preserve">Alexander Kayyal was terminated as CFO effective January 24, 2026, with Chief Accounting Officer Tahnil Davis stepping in as interim CFO while an external search was launched. Kayyal, notably, had only become CFO in August 2025.</w:t>
      </w:r>
    </w:p>
    <w:p>
      <w:pPr>
        <w:pStyle w:val="Compact"/>
        <w:numPr>
          <w:ilvl w:val="0"/>
          <w:numId w:val="1001"/>
        </w:numPr>
      </w:pPr>
      <w:r>
        <w:rPr>
          <w:b/>
          <w:bCs/>
        </w:rPr>
        <w:t xml:space="preserve">New permanent CFO:</w:t>
      </w:r>
      <w:r>
        <w:t xml:space="preserve"> </w:t>
      </w:r>
      <w:r>
        <w:t xml:space="preserve">Nate Olmstead was appointed CFO (announced June 1) and formally took over the role on July 9, 2026 — meaning this is effectively his first quarter fully in the seat.</w:t>
      </w:r>
    </w:p>
    <w:p>
      <w:pPr>
        <w:pStyle w:val="Compact"/>
        <w:numPr>
          <w:ilvl w:val="0"/>
          <w:numId w:val="1001"/>
        </w:numPr>
      </w:pPr>
      <w:r>
        <w:rPr>
          <w:b/>
          <w:bCs/>
        </w:rPr>
        <w:t xml:space="preserve">New Chief Commercial Officer:</w:t>
      </w:r>
      <w:r>
        <w:t xml:space="preserve"> </w:t>
      </w:r>
      <w:r>
        <w:t xml:space="preserve">Kristi Argyilan (former Global Head of Advertising at Uber, with retail-media pedigree from Target's Roundel and Albertsons Media Collective) started July 27, 2026, to lead data partnerships, identity, measurement and retail media.</w:t>
      </w:r>
    </w:p>
    <w:p>
      <w:pPr>
        <w:pStyle w:val="Compact"/>
        <w:numPr>
          <w:ilvl w:val="0"/>
          <w:numId w:val="1001"/>
        </w:numPr>
      </w:pPr>
      <w:r>
        <w:rPr>
          <w:b/>
          <w:bCs/>
        </w:rPr>
        <w:t xml:space="preserve">New CMO:</w:t>
      </w:r>
      <w:r>
        <w:t xml:space="preserve"> </w:t>
      </w:r>
      <w:r>
        <w:t xml:space="preserve">Sarah Gavin was also added as Chief Marketing Officer around the same time — meaning TTD has installed a new CFO, CCO and CMO all within about two months of each other, alongside a new Chief Business Development Officer (a former Amazon business-development executive) and a new independent board director (Penry Price, a former Google/DoubleClick and LinkedIn executive) who now chairs the Compensation Committee.</w:t>
      </w:r>
    </w:p>
    <w:p>
      <w:pPr>
        <w:pStyle w:val="Compact"/>
        <w:numPr>
          <w:ilvl w:val="0"/>
          <w:numId w:val="1001"/>
        </w:numPr>
      </w:pPr>
      <w:r>
        <w:rPr>
          <w:b/>
          <w:bCs/>
        </w:rPr>
        <w:t xml:space="preserve">Board instability:</w:t>
      </w:r>
      <w:r>
        <w:t xml:space="preserve"> </w:t>
      </w:r>
      <w:r>
        <w:t xml:space="preserve">Multiple directors have resigned over the past year (Lise Buyer, Gokul Rajaram, Kathryn Falberg, and Alexander Kayyal from the board), which left TTD</w:t>
      </w:r>
      <w:r>
        <w:t xml:space="preserve"> </w:t>
      </w:r>
      <w:r>
        <w:rPr>
          <w:b/>
          <w:bCs/>
        </w:rPr>
        <w:t xml:space="preserve">out of compliance with Nasdaq's audit- and compensation-committee composition rules</w:t>
      </w:r>
      <w:r>
        <w:t xml:space="preserve"> </w:t>
      </w:r>
      <w:r>
        <w:t xml:space="preserve">as of March 2026 — the company has a cure period running to September 21, 2026 to fix this.</w:t>
      </w:r>
    </w:p>
    <w:p>
      <w:pPr>
        <w:pStyle w:val="Compact"/>
        <w:numPr>
          <w:ilvl w:val="0"/>
          <w:numId w:val="1001"/>
        </w:numPr>
      </w:pPr>
      <w:r>
        <w:rPr>
          <w:b/>
          <w:bCs/>
        </w:rPr>
        <w:t xml:space="preserve">Strategy departure:</w:t>
      </w:r>
      <w:r>
        <w:t xml:space="preserve"> </w:t>
      </w:r>
      <w:r>
        <w:t xml:space="preserve">Chief Strategy Officer Samantha Jacobson announced she was leaving for OpenAI (she remains on TTD's board in an advisory capacity), news that broke the same day as the Q1 2026 print.</w:t>
      </w:r>
    </w:p>
    <w:p>
      <w:pPr>
        <w:pStyle w:val="FirstParagraph"/>
      </w:pPr>
      <w:r>
        <w:rPr>
          <w:b/>
          <w:bCs/>
        </w:rPr>
        <w:t xml:space="preserve">Why it matters:</w:t>
      </w:r>
      <w:r>
        <w:t xml:space="preserve"> </w:t>
      </w:r>
      <w:r>
        <w:t xml:space="preserve">This is either (a) a board deliberately importing seasoned commercial operators (particularly retail-media and Amazon-adjacent talent) to fix growth and agency relationships, or (b) evidence of real internal strain at a company that has now cycled through two CFOs in a year. Investors should listen closely for how Jeff Green and new CFO Nate Olmstead frame this rebuilt leadership team and whether it's presented as offense (scaling the next phase) or defense (fixing self-inflicted wounds).</w:t>
      </w:r>
    </w:p>
    <w:bookmarkEnd w:id="11"/>
    <w:bookmarkStart w:id="12" w:name="X86c6a17f2994392a0669512b989228390063b9e"/>
    <w:p>
      <w:pPr>
        <w:pStyle w:val="Heading2"/>
      </w:pPr>
      <w:r>
        <w:t xml:space="preserve">3. The Publicis/Agency Transparency Dispute — The Overhang That Won't Go Away</w:t>
      </w:r>
    </w:p>
    <w:p>
      <w:pPr>
        <w:pStyle w:val="FirstParagraph"/>
      </w:pPr>
      <w:r>
        <w:t xml:space="preserve">A meaningful piece of the "very negative sentiment" referenced heading into this quarter traces back to a public fight with</w:t>
      </w:r>
      <w:r>
        <w:t xml:space="preserve"> </w:t>
      </w:r>
      <w:r>
        <w:rPr>
          <w:b/>
          <w:bCs/>
        </w:rPr>
        <w:t xml:space="preserve">Publicis Groupe</w:t>
      </w:r>
      <w:r>
        <w:t xml:space="preserve">, TTD's longtime agency partner. In March 2026, Publicis told clients it would no longer recommend TTD after a third-party audit (conducted by FirmDecisions/Ebiquity) alleged that TTD had</w:t>
      </w:r>
      <w:r>
        <w:t xml:space="preserve"> </w:t>
      </w:r>
      <w:r>
        <w:rPr>
          <w:b/>
          <w:bCs/>
        </w:rPr>
        <w:t xml:space="preserve">"improperly applied their DSP fee to other fees" charged to clients, billed clients for tools they were "automatically opted into without authorisation," and failed to provide auditors data needed to validate at-cost media pricing claims</w:t>
      </w:r>
      <w:r>
        <w:t xml:space="preserve">. Jeff Green pushed back forcefully, stating TTD</w:t>
      </w:r>
      <w:r>
        <w:t xml:space="preserve"> </w:t>
      </w:r>
      <w:r>
        <w:rPr>
          <w:b/>
          <w:bCs/>
        </w:rPr>
        <w:t xml:space="preserve">"will not disclose the bills of all of our clients and partners to one of them simply because they assert ambiguous audit rights,"</w:t>
      </w:r>
      <w:r>
        <w:t xml:space="preserve"> </w:t>
      </w:r>
      <w:r>
        <w:t xml:space="preserve">and has maintained that TTD has never "failed" an audit. Separately, reports emerged that</w:t>
      </w:r>
      <w:r>
        <w:t xml:space="preserve"> </w:t>
      </w:r>
      <w:r>
        <w:rPr>
          <w:b/>
          <w:bCs/>
        </w:rPr>
        <w:t xml:space="preserve">Dentsu and WPP had also pulled back spend from TTD's OpenPath initiative</w:t>
      </w:r>
      <w:r>
        <w:t xml:space="preserve"> </w:t>
      </w:r>
      <w:r>
        <w:t xml:space="preserve">over similar hidden-fee and transparency concerns.</w:t>
      </w:r>
    </w:p>
    <w:p>
      <w:pPr>
        <w:pStyle w:val="BodyText"/>
      </w:pPr>
      <w:r>
        <w:t xml:space="preserve">This is a direct hit to the core of TTD's brand promise — independence and objectivity versus the "walled gardens." Evercore ISI and others have argued the actual</w:t>
      </w:r>
      <w:r>
        <w:t xml:space="preserve"> </w:t>
      </w:r>
      <w:r>
        <w:rPr>
          <w:b/>
          <w:bCs/>
        </w:rPr>
        <w:t xml:space="preserve">revenue exposure to Publicis specifically is manageable (low double-digit percentage of billings, lower of revenue, much of it covered by joint business plans)</w:t>
      </w:r>
      <w:r>
        <w:t xml:space="preserve">, and the stock's initial reaction (down over 14% in the days after the news broke) was arguably overdone relative to the direct financial impact — but the reputational overhang, plus reported account-team churn and operational friction with some agencies, remains a live risk to watch in commentary and in the JBP/agency-relationship data points management chooses to highlight.</w:t>
      </w:r>
    </w:p>
    <w:p>
      <w:pPr>
        <w:pStyle w:val="BodyText"/>
      </w:pPr>
      <w:r>
        <w:rPr>
          <w:b/>
          <w:bCs/>
        </w:rPr>
        <w:t xml:space="preserve">On the Q1 call</w:t>
      </w:r>
      <w:r>
        <w:t xml:space="preserve">, Jeff Green called the public framing of the Publicis conflict "overdramatized" and said negotiations on "the next chapter of our partnership" were ongoing — investors should listen for any update or resolution language on this call, as well as any fresh JBP signing metrics (Q1 saw JBP count up 55% YoY and new JBP deal spend up 40% YoY, including a headline win-back of a top pharma advertiser that had shifted spend to Amazon, boosting that client's 2026 spend by 114% YoY).</w:t>
      </w:r>
    </w:p>
    <w:bookmarkEnd w:id="12"/>
    <w:bookmarkStart w:id="13" w:name="X50e499379a24d4292c275bb9f90e4dcb27711b3"/>
    <w:p>
      <w:pPr>
        <w:pStyle w:val="Heading2"/>
      </w:pPr>
      <w:r>
        <w:t xml:space="preserve">4. Competitive Pressure From Amazon</w:t>
      </w:r>
    </w:p>
    <w:p>
      <w:pPr>
        <w:pStyle w:val="FirstParagraph"/>
      </w:pPr>
      <w:r>
        <w:t xml:space="preserve">Amazon's advertising and DSP ambitions are one of the most cited bear-case data points ahead of this quarter, and Amazon itself just crossed</w:t>
      </w:r>
      <w:r>
        <w:t xml:space="preserve"> </w:t>
      </w:r>
      <w:r>
        <w:rPr>
          <w:b/>
          <w:bCs/>
        </w:rPr>
        <w:t xml:space="preserve">$3 trillion in market capitalization</w:t>
      </w:r>
      <w:r>
        <w:t xml:space="preserve"> </w:t>
      </w:r>
      <w:r>
        <w:t xml:space="preserve">on the back of strong results — a reminder of the scale advantage Amazon can bring to bear in retail media and demand-side advertising. TTD's own framing pushes back on this: management has argued that the retailers in TTD's data marketplace represent more than 80% of top U.S. retail sales versus less than 15% for Amazon directly, and cited the pharma win-back as evidence TTD can compete for — and reclaim — budgets that had shifted to Amazon on price. The hiring of a former Amazon business-development executive as Chief Business Development Officer also reads as a direct response to this competitive front. Watch for management commentary quantifying competitive win/loss trends versus Amazon DSP and retail-media offerings, and any update on retail-data marketplace and "Audience Unlimited" traction (an early case study cited 30% lower CPMs and a 2.7x lift in conversion rate versus a control group).</w:t>
      </w:r>
    </w:p>
    <w:bookmarkEnd w:id="13"/>
    <w:bookmarkStart w:id="14" w:name="Xe7d60d5414943fdc6aeae6cf984e497e4ac1557"/>
    <w:p>
      <w:pPr>
        <w:pStyle w:val="Heading2"/>
      </w:pPr>
      <w:r>
        <w:t xml:space="preserve">5. Margin Discipline and Capital Return</w:t>
      </w:r>
    </w:p>
    <w:p>
      <w:pPr>
        <w:pStyle w:val="FirstParagraph"/>
      </w:pPr>
      <w:r>
        <w:t xml:space="preserve">Management has been explicit that</w:t>
      </w:r>
      <w:r>
        <w:t xml:space="preserve"> </w:t>
      </w:r>
      <w:r>
        <w:rPr>
          <w:b/>
          <w:bCs/>
        </w:rPr>
        <w:t xml:space="preserve">2026 is "a year of disciplined reinvestment,"</w:t>
      </w:r>
      <w:r>
        <w:t xml:space="preserve"> </w:t>
      </w:r>
      <w:r>
        <w:t xml:space="preserve">targeting a full-year adjusted EBITDA margin of</w:t>
      </w:r>
      <w:r>
        <w:t xml:space="preserve"> </w:t>
      </w:r>
      <w:r>
        <w:rPr>
          <w:b/>
          <w:bCs/>
        </w:rPr>
        <w:t xml:space="preserve">at least 40%</w:t>
      </w:r>
      <w:r>
        <w:t xml:space="preserve">, roughly in line with 2025's 41% margin, while keeping headcount growth below revenue growth. That's a lower bar than the 47% margin the company posted in Q4 2025, and Q1's 30% margin print shows how much investment is currently being absorbed. Given the stock's collapse, buybacks are also worth tracking: TTD repurchased</w:t>
      </w:r>
      <w:r>
        <w:t xml:space="preserve"> </w:t>
      </w:r>
      <m:oMath>
        <m:r>
          <m:t>164</m:t>
        </m:r>
        <m:r>
          <m:t>m</m:t>
        </m:r>
        <m:r>
          <m:t>i</m:t>
        </m:r>
        <m:r>
          <m:t>l</m:t>
        </m:r>
        <m:r>
          <m:t>l</m:t>
        </m:r>
        <m:r>
          <m:t>i</m:t>
        </m:r>
        <m:r>
          <m:t>o</m:t>
        </m:r>
        <m:r>
          <m:t>n</m:t>
        </m:r>
        <m:r>
          <m:t>o</m:t>
        </m:r>
        <m:r>
          <m:t>f</m:t>
        </m:r>
        <m:r>
          <m:t>s</m:t>
        </m:r>
        <m:r>
          <m:t>t</m:t>
        </m:r>
        <m:r>
          <m:t>o</m:t>
        </m:r>
        <m:r>
          <m:t>c</m:t>
        </m:r>
        <m:r>
          <m:t>k</m:t>
        </m:r>
        <m:r>
          <m:t>i</m:t>
        </m:r>
        <m:r>
          <m:t>n</m:t>
        </m:r>
        <m:r>
          <m:t>Q</m:t>
        </m:r>
        <m:r>
          <m:t>1</m:t>
        </m:r>
        <m:r>
          <m:t>2026</m:t>
        </m:r>
        <m:r>
          <m:rPr>
            <m:sty m:val="p"/>
          </m:rPr>
          <m:t>*</m:t>
        </m:r>
        <m:r>
          <m:rPr>
            <m:sty m:val="p"/>
          </m:rPr>
          <m:t>*</m:t>
        </m:r>
        <m:r>
          <m:rPr>
            <m:sty m:val="p"/>
          </m:rPr>
          <m:t>(</m:t>
        </m:r>
        <m:r>
          <m:t>f</m:t>
        </m:r>
        <m:r>
          <m:t>o</m:t>
        </m:r>
        <m:r>
          <m:t>l</m:t>
        </m:r>
        <m:r>
          <m:t>l</m:t>
        </m:r>
        <m:r>
          <m:t>o</m:t>
        </m:r>
        <m:r>
          <m:t>w</m:t>
        </m:r>
        <m:r>
          <m:t>i</m:t>
        </m:r>
        <m:r>
          <m:t>n</m:t>
        </m:r>
        <m:r>
          <m:t>g</m:t>
        </m:r>
        <m:r>
          <m:rPr>
            <m:sty m:val="p"/>
          </m:rPr>
          <m:t>*</m:t>
        </m:r>
        <m:r>
          <m:rPr>
            <m:sty m:val="p"/>
          </m:rPr>
          <m:t>*</m:t>
        </m:r>
      </m:oMath>
      <w:r>
        <w:rPr>
          <w:b/>
          <w:bCs/>
        </w:rPr>
        <w:t xml:space="preserve">1.4 billion, or roughly 48% of 2025's free cash flow generation, repurchased in full-year 2025 at an average price of</w:t>
      </w:r>
      <w:r>
        <w:rPr>
          <w:b/>
          <w:bCs/>
        </w:rPr>
        <w:t xml:space="preserve"> </w:t>
      </w:r>
      <m:oMath>
        <m:r>
          <m:t>52.60</m:t>
        </m:r>
        <m:r>
          <m:rPr>
            <m:sty m:val="p"/>
          </m:rPr>
          <m:t>*</m:t>
        </m:r>
        <m:r>
          <m:rPr>
            <m:sty m:val="p"/>
          </m:rPr>
          <m:t>*</m:t>
        </m:r>
        <m:r>
          <m:rPr>
            <m:sty m:val="p"/>
          </m:rPr>
          <m:t>—</m:t>
        </m:r>
        <m:r>
          <m:t>a</m:t>
        </m:r>
        <m:r>
          <m:t>p</m:t>
        </m:r>
        <m:r>
          <m:t>r</m:t>
        </m:r>
        <m:r>
          <m:t>i</m:t>
        </m:r>
        <m:r>
          <m:t>c</m:t>
        </m:r>
        <m:r>
          <m:t>e</m:t>
        </m:r>
        <m:r>
          <m:t>n</m:t>
        </m:r>
        <m:r>
          <m:t>e</m:t>
        </m:r>
        <m:r>
          <m:t>a</m:t>
        </m:r>
        <m:r>
          <m:t>r</m:t>
        </m:r>
        <m:r>
          <m:t>l</m:t>
        </m:r>
        <m:r>
          <m:t>y</m:t>
        </m:r>
        <m:r>
          <m:t>t</m:t>
        </m:r>
        <m:r>
          <m:t>r</m:t>
        </m:r>
        <m:r>
          <m:t>i</m:t>
        </m:r>
        <m:r>
          <m:t>p</m:t>
        </m:r>
        <m:r>
          <m:t>l</m:t>
        </m:r>
        <m:r>
          <m:t>e</m:t>
        </m:r>
        <m:r>
          <m:t>w</m:t>
        </m:r>
        <m:r>
          <m:t>h</m:t>
        </m:r>
        <m:r>
          <m:t>e</m:t>
        </m:r>
        <m:r>
          <m:t>r</m:t>
        </m:r>
        <m:r>
          <m:t>e</m:t>
        </m:r>
        <m:r>
          <m:t>t</m:t>
        </m:r>
        <m:r>
          <m:t>h</m:t>
        </m:r>
        <m:r>
          <m:t>e</m:t>
        </m:r>
        <m:r>
          <m:t>s</m:t>
        </m:r>
        <m:r>
          <m:t>t</m:t>
        </m:r>
        <m:r>
          <m:t>o</m:t>
        </m:r>
        <m:r>
          <m:t>c</m:t>
        </m:r>
        <m:r>
          <m:t>k</m:t>
        </m:r>
        <m:r>
          <m:t>t</m:t>
        </m:r>
        <m:r>
          <m:t>r</m:t>
        </m:r>
        <m:r>
          <m:t>a</m:t>
        </m:r>
        <m:r>
          <m:t>d</m:t>
        </m:r>
        <m:r>
          <m:t>e</m:t>
        </m:r>
        <m:r>
          <m:t>s</m:t>
        </m:r>
        <m:r>
          <m:t>t</m:t>
        </m:r>
        <m:r>
          <m:t>o</m:t>
        </m:r>
        <m:r>
          <m:t>d</m:t>
        </m:r>
        <m:r>
          <m:t>a</m:t>
        </m:r>
        <m:r>
          <m:t>y</m:t>
        </m:r>
        <m:r>
          <m:rPr>
            <m:sty m:val="p"/>
          </m:rPr>
          <m:t>)</m:t>
        </m:r>
        <m:r>
          <m:rPr>
            <m:sty m:val="p"/>
          </m:rPr>
          <m:t>,</m:t>
        </m:r>
        <m:r>
          <m:t>w</m:t>
        </m:r>
        <m:r>
          <m:t>i</m:t>
        </m:r>
        <m:r>
          <m:t>t</m:t>
        </m:r>
        <m:r>
          <m:t>h</m:t>
        </m:r>
        <m:r>
          <m:rPr>
            <m:sty m:val="p"/>
          </m:rPr>
          <m:t>*</m:t>
        </m:r>
        <m:r>
          <m:rPr>
            <m:sty m:val="p"/>
          </m:rPr>
          <m:t>*</m:t>
        </m:r>
      </m:oMath>
      <w:r>
        <w:rPr>
          <w:b/>
          <w:bCs/>
        </w:rPr>
        <w:t xml:space="preserve">327 million remaining authorized</w:t>
      </w:r>
      <w:r>
        <w:t xml:space="preserve"> </w:t>
      </w:r>
      <w:r>
        <w:t xml:space="preserve">as of Q1. Whether the company leans harder into buybacks at current depressed valuations will be a signal of management's own conviction.</w:t>
      </w:r>
    </w:p>
    <w:bookmarkEnd w:id="14"/>
    <w:bookmarkStart w:id="15" w:name="X165625d3ecc09ade6545d734df5575ee4d4529d"/>
    <w:p>
      <w:pPr>
        <w:pStyle w:val="Heading2"/>
      </w:pPr>
      <w:r>
        <w:t xml:space="preserve">6. Valuation and Setup Into the Print</w:t>
      </w:r>
    </w:p>
    <w:p>
      <w:pPr>
        <w:pStyle w:val="Compact"/>
        <w:numPr>
          <w:ilvl w:val="0"/>
          <w:numId w:val="1002"/>
        </w:numPr>
      </w:pPr>
      <w:r>
        <w:t xml:space="preserve">Consensus for Q2 2026:</w:t>
      </w:r>
      <w:r>
        <w:t xml:space="preserve"> </w:t>
      </w:r>
      <w:r>
        <w:rPr>
          <w:b/>
          <w:bCs/>
        </w:rPr>
        <w:t xml:space="preserve">revenue ~$751–752 million (+8.3–8.4% YoY)</w:t>
      </w:r>
      <w:r>
        <w:t xml:space="preserve"> </w:t>
      </w:r>
      <w:r>
        <w:t xml:space="preserve">and non-GAAP **EPS of roughly</w:t>
      </w:r>
      <w:r>
        <w:t xml:space="preserve"> </w:t>
      </w:r>
      <m:oMath>
        <m:r>
          <m:t>0.41</m:t>
        </m:r>
        <m:r>
          <m:rPr>
            <m:sty m:val="p"/>
          </m:rPr>
          <m:t>(</m:t>
        </m:r>
        <m:r>
          <m:t>f</m:t>
        </m:r>
        <m:r>
          <m:t>l</m:t>
        </m:r>
        <m:r>
          <m:t>a</m:t>
        </m:r>
        <m:r>
          <m:t>t</m:t>
        </m:r>
        <m:r>
          <m:t>Y</m:t>
        </m:r>
        <m:r>
          <m:t>o</m:t>
        </m:r>
        <m:r>
          <m:t>Y</m:t>
        </m:r>
        <m:r>
          <m:rPr>
            <m:sty m:val="p"/>
          </m:rPr>
          <m:t>)</m:t>
        </m:r>
        <m:r>
          <m:rPr>
            <m:sty m:val="p"/>
          </m:rPr>
          <m:t>*</m:t>
        </m:r>
        <m:r>
          <m:rPr>
            <m:sty m:val="p"/>
          </m:rPr>
          <m:t>*</m:t>
        </m:r>
        <m:r>
          <m:t>d</m:t>
        </m:r>
        <m:r>
          <m:t>e</m:t>
        </m:r>
        <m:r>
          <m:t>s</m:t>
        </m:r>
        <m:r>
          <m:t>p</m:t>
        </m:r>
        <m:r>
          <m:t>i</m:t>
        </m:r>
        <m:r>
          <m:t>t</m:t>
        </m:r>
        <m:r>
          <m:t>e</m:t>
        </m:r>
        <m:r>
          <m:t>t</m:t>
        </m:r>
        <m:r>
          <m:t>h</m:t>
        </m:r>
        <m:r>
          <m:t>e</m:t>
        </m:r>
        <m:r>
          <m:t>l</m:t>
        </m:r>
        <m:r>
          <m:t>o</m:t>
        </m:r>
        <m:r>
          <m:t>w</m:t>
        </m:r>
        <m:r>
          <m:rPr>
            <m:sty m:val="p"/>
          </m:rPr>
          <m:t>−</m:t>
        </m:r>
        <m:r>
          <m:t>d</m:t>
        </m:r>
        <m:r>
          <m:t>o</m:t>
        </m:r>
        <m:r>
          <m:t>u</m:t>
        </m:r>
        <m:r>
          <m:t>b</m:t>
        </m:r>
        <m:r>
          <m:t>l</m:t>
        </m:r>
        <m:r>
          <m:t>e</m:t>
        </m:r>
        <m:r>
          <m:rPr>
            <m:sty m:val="p"/>
          </m:rPr>
          <m:t>−</m:t>
        </m:r>
        <m:r>
          <m:t>d</m:t>
        </m:r>
        <m:r>
          <m:t>i</m:t>
        </m:r>
        <m:r>
          <m:t>g</m:t>
        </m:r>
        <m:r>
          <m:t>i</m:t>
        </m:r>
        <m:r>
          <m:t>t</m:t>
        </m:r>
        <m:r>
          <m:t>f</m:t>
        </m:r>
        <m:r>
          <m:t>l</m:t>
        </m:r>
        <m:r>
          <m:t>o</m:t>
        </m:r>
        <m:r>
          <m:t>o</m:t>
        </m:r>
        <m:r>
          <m:t>r</m:t>
        </m:r>
        <m:r>
          <m:t>g</m:t>
        </m:r>
        <m:r>
          <m:t>u</m:t>
        </m:r>
        <m:r>
          <m:t>i</m:t>
        </m:r>
        <m:r>
          <m:t>d</m:t>
        </m:r>
        <m:r>
          <m:t>e</m:t>
        </m:r>
        <m:r>
          <m:t>f</m:t>
        </m:r>
        <m:r>
          <m:t>r</m:t>
        </m:r>
        <m:r>
          <m:t>o</m:t>
        </m:r>
        <m:r>
          <m:t>m</m:t>
        </m:r>
        <m:r>
          <m:t>m</m:t>
        </m:r>
        <m:r>
          <m:t>a</m:t>
        </m:r>
        <m:r>
          <m:t>n</m:t>
        </m:r>
        <m:r>
          <m:t>a</m:t>
        </m:r>
        <m:r>
          <m:t>g</m:t>
        </m:r>
        <m:r>
          <m:t>e</m:t>
        </m:r>
        <m:r>
          <m:t>m</m:t>
        </m:r>
        <m:r>
          <m:t>e</m:t>
        </m:r>
        <m:r>
          <m:t>n</m:t>
        </m:r>
        <m:r>
          <m:t>t</m:t>
        </m:r>
        <m:r>
          <m:rPr>
            <m:sty m:val="p"/>
          </m:rPr>
          <m:t>(</m:t>
        </m:r>
        <m:r>
          <m:rPr>
            <m:sty m:val="p"/>
          </m:rPr>
          <m:t>≥</m:t>
        </m:r>
      </m:oMath>
      <w:r>
        <w:t xml:space="preserve">750M revenue, ~$260M adjusted EBITDA).</w:t>
      </w:r>
    </w:p>
    <w:p>
      <w:pPr>
        <w:pStyle w:val="Compact"/>
        <w:numPr>
          <w:ilvl w:val="0"/>
          <w:numId w:val="1002"/>
        </w:numPr>
      </w:pPr>
      <w:r>
        <w:t xml:space="preserve">The stock enters the print near multi-year lows, down roughly 50%+ year-to-date and about 78% from its August 2025 peak.</w:t>
      </w:r>
    </w:p>
    <w:p>
      <w:pPr>
        <w:pStyle w:val="Compact"/>
        <w:numPr>
          <w:ilvl w:val="0"/>
          <w:numId w:val="1002"/>
        </w:numPr>
      </w:pPr>
      <w:r>
        <w:t xml:space="preserve">Average sell-side price targets have been trimmed repeatedly (recent figures cluster around the mid-</w:t>
      </w:r>
      <m:oMath>
        <m:r>
          <m:t>20</m:t>
        </m:r>
        <m:r>
          <m:t>s</m:t>
        </m:r>
        <m:r>
          <m:rPr>
            <m:sty m:val="p"/>
          </m:rPr>
          <m:t>,</m:t>
        </m:r>
        <m:r>
          <m:t>e</m:t>
        </m:r>
        <m:r>
          <m:rPr>
            <m:sty m:val="p"/>
          </m:rPr>
          <m:t>.</m:t>
        </m:r>
        <m:r>
          <m:t>g</m:t>
        </m:r>
        <m:r>
          <m:rPr>
            <m:sty m:val="p"/>
          </m:rPr>
          <m:t>.</m:t>
        </m:r>
        <m:r>
          <m:rPr>
            <m:sty m:val="p"/>
          </m:rPr>
          <m:t>,</m:t>
        </m:r>
        <m:r>
          <m:t> </m:t>
        </m:r>
      </m:oMath>
      <w:r>
        <w:t xml:space="preserve">24), still implying double-digit upside from the ~$19 level — but that gap also signals how much uncertainty remains baked into estimates, and how quickly targets have been cut all year.</w:t>
      </w:r>
    </w:p>
    <w:p>
      <w:pPr>
        <w:pStyle w:val="Compact"/>
        <w:numPr>
          <w:ilvl w:val="0"/>
          <w:numId w:val="1002"/>
        </w:numPr>
      </w:pPr>
      <w:r>
        <w:t xml:space="preserve">At least two brokerages (HSBC, Rosenblatt/Stifel per various reports) have downgraded the stock over the past several months on a combination of decelerating growth, margin compression, and the agency/transparency overhang.</w:t>
      </w:r>
    </w:p>
    <w:p>
      <w:r>
        <w:pict>
          <v:rect style="width:0;height:1.5pt" o:hralign="center" o:hrstd="t" o:hr="t"/>
        </w:pict>
      </w:r>
    </w:p>
    <w:bookmarkEnd w:id="15"/>
    <w:bookmarkStart w:id="16" w:name="what-would-move-the-stock"/>
    <w:p>
      <w:pPr>
        <w:pStyle w:val="Heading2"/>
      </w:pPr>
      <w:r>
        <w:t xml:space="preserve">What Would Move the Stock</w:t>
      </w:r>
    </w:p>
    <w:p>
      <w:pPr>
        <w:pStyle w:val="FirstParagraph"/>
      </w:pPr>
      <w:r>
        <w:rPr>
          <w:b/>
          <w:bCs/>
        </w:rPr>
        <w:t xml:space="preserve">Bullish signals to watch for:</w:t>
      </w:r>
    </w:p>
    <w:p>
      <w:pPr>
        <w:pStyle w:val="Compact"/>
        <w:numPr>
          <w:ilvl w:val="0"/>
          <w:numId w:val="1003"/>
        </w:numPr>
      </w:pPr>
      <w:r>
        <w:t xml:space="preserve">Revenue and EBITDA that clear the "at least</w:t>
      </w:r>
      <w:r>
        <w:t xml:space="preserve"> </w:t>
      </w:r>
      <m:oMath>
        <m:r>
          <m:t>750</m:t>
        </m:r>
        <m:r>
          <m:t>M</m:t>
        </m:r>
        <m:r>
          <m:rPr>
            <m:sty m:val="p"/>
          </m:rPr>
          <m:t>/</m:t>
        </m:r>
        <m:r>
          <m:t> </m:t>
        </m:r>
      </m:oMath>
      <w:r>
        <w:t xml:space="preserve">260M" guide with room to spare, as Q1 did versus its own guide.</w:t>
      </w:r>
    </w:p>
    <w:p>
      <w:pPr>
        <w:pStyle w:val="Compact"/>
        <w:numPr>
          <w:ilvl w:val="0"/>
          <w:numId w:val="1003"/>
        </w:numPr>
      </w:pPr>
      <w:r>
        <w:t xml:space="preserve">Clear, quantified progress on JBP signings, retail-data monetization, and win-backs from Amazon.</w:t>
      </w:r>
    </w:p>
    <w:p>
      <w:pPr>
        <w:pStyle w:val="Compact"/>
        <w:numPr>
          <w:ilvl w:val="0"/>
          <w:numId w:val="1003"/>
        </w:numPr>
      </w:pPr>
      <w:r>
        <w:t xml:space="preserve">Constructive, specific commentary on resolving (or containing) the Publicis/agency dispute rather than continued "no comment" deflection.</w:t>
      </w:r>
    </w:p>
    <w:p>
      <w:pPr>
        <w:pStyle w:val="Compact"/>
        <w:numPr>
          <w:ilvl w:val="0"/>
          <w:numId w:val="1003"/>
        </w:numPr>
      </w:pPr>
      <w:r>
        <w:t xml:space="preserve">A confident, unified message from the newly assembled leadership team (Olmstead, Argyilan, Gavin) signaling execution discipline rather than continued churn.</w:t>
      </w:r>
    </w:p>
    <w:p>
      <w:pPr>
        <w:pStyle w:val="Compact"/>
        <w:numPr>
          <w:ilvl w:val="0"/>
          <w:numId w:val="1003"/>
        </w:numPr>
      </w:pPr>
      <w:r>
        <w:t xml:space="preserve">Any signs of CTV, audio, or international growth reaccelerating, or of easier CPG/auto comps materializing as promised.</w:t>
      </w:r>
    </w:p>
    <w:p>
      <w:pPr>
        <w:pStyle w:val="FirstParagraph"/>
      </w:pPr>
      <w:r>
        <w:rPr>
          <w:b/>
          <w:bCs/>
        </w:rPr>
        <w:t xml:space="preserve">Bearish signals to watch for:</w:t>
      </w:r>
    </w:p>
    <w:p>
      <w:pPr>
        <w:pStyle w:val="Compact"/>
        <w:numPr>
          <w:ilvl w:val="0"/>
          <w:numId w:val="1004"/>
        </w:numPr>
      </w:pPr>
      <w:r>
        <w:t xml:space="preserve">A guide for Q3 that shows continued single-digit deceleration rather than stabilization.</w:t>
      </w:r>
    </w:p>
    <w:p>
      <w:pPr>
        <w:pStyle w:val="Compact"/>
        <w:numPr>
          <w:ilvl w:val="0"/>
          <w:numId w:val="1004"/>
        </w:numPr>
      </w:pPr>
      <w:r>
        <w:t xml:space="preserve">Further margin erosion below the 40% full-year EBITDA target.</w:t>
      </w:r>
    </w:p>
    <w:p>
      <w:pPr>
        <w:pStyle w:val="Compact"/>
        <w:numPr>
          <w:ilvl w:val="0"/>
          <w:numId w:val="1004"/>
        </w:numPr>
      </w:pPr>
      <w:r>
        <w:t xml:space="preserve">Fresh disclosures of agency defections, billing disputes, or Nasdaq committee non-compliance issues carrying past the September cure deadline.</w:t>
      </w:r>
    </w:p>
    <w:p>
      <w:pPr>
        <w:pStyle w:val="Compact"/>
        <w:numPr>
          <w:ilvl w:val="0"/>
          <w:numId w:val="1004"/>
        </w:numPr>
      </w:pPr>
      <w:r>
        <w:t xml:space="preserve">Additional executive or board departures.</w:t>
      </w:r>
    </w:p>
    <w:bookmarkEnd w:id="16"/>
    <w:bookmarkStart w:id="17" w:name="bottom-line"/>
    <w:p>
      <w:pPr>
        <w:pStyle w:val="Heading2"/>
      </w:pPr>
      <w:r>
        <w:t xml:space="preserve">Bottom Line</w:t>
      </w:r>
    </w:p>
    <w:p>
      <w:pPr>
        <w:pStyle w:val="FirstParagraph"/>
      </w:pPr>
      <w:r>
        <w:t xml:space="preserve">The Trade Desk goes into Thursday's report as a battleground stock: a company that is still large, profitable, and generating meaningful free cash flow, but one whose growth rate has decelerated from the high teens/20s to high single digits within about a year, whose C-suite and boardroom have been almost entirely rebuilt over the past twelve months, and whose core "objective, transparent platform" brand promise is under direct public challenge from one of its largest agency partners. Expectations are low and largely de-risked after repeated downgrades, which cuts both ways — it lowers the bar for a "relief rally" on an in-line-or-better print, but also means investors will be parsing every word on Publicis, Amazon competition, and the new leadership team's early execution for signs of whether this is a company stabilizing after a rough patch, or one still searching for a floor.</w:t>
      </w:r>
    </w:p>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2026-08-06T01:11:48Z</dcterms:created>
  <dcterms:modified xsi:type="dcterms:W3CDTF">2026-08-06T01:11:48Z</dcterms:modified>
</cp:coreProperties>
</file>

<file path=docProps/custom.xml><?xml version="1.0" encoding="utf-8"?>
<Properties xmlns="http://schemas.openxmlformats.org/officeDocument/2006/custom-properties" xmlns:vt="http://schemas.openxmlformats.org/officeDocument/2006/docPropsVTypes"/>
</file>