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 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~$758M vs. cons $752M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~$267M vs. cons $262M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~$0.38 vs. cons $0.37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~$795M vs. cons $802M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~$320M vs. cons $328M (2026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≥40.0% vs. cons 40.0%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-12.5% (FOLLOW-THROUGH)</w:t>
            </w:r>
          </w:p>
        </w:tc>
        <w:tc>
          <w:tcPr/>
          <w:p>
            <w:pPr>
              <w:pStyle w:val="Compact"/>
            </w:pPr>
            <w:r>
              <w:t xml:space="preserve">The Q2 beat is likely overshadowed by Q3 revenue guidance of ~$795M versus</w:t>
            </w:r>
            <w:r>
              <w:t xml:space="preserve"> </w:t>
            </w:r>
            <m:oMath>
              <m:r>
                <m:t>802</m:t>
              </m:r>
              <m:r>
                <m:t>M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Q</m:t>
              </m:r>
              <m:r>
                <m:t>3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320M versus $328M consensus; the implied out-period cuts should pressure estimates after day 1, extending the residual move from approximately -8.0% to -12.5%.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2026-08-06T01:06:19Z</dcterms:created>
  <dcterms:modified xsi:type="dcterms:W3CDTF">2026-08-06T01:06:19Z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