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600e2e03d78a0a3f16b83e706f2da72a06ef21"/>
    <w:p>
      <w:pPr>
        <w:pStyle w:val="Heading1"/>
      </w:pPr>
      <w:r>
        <w:t xml:space="preserve">The Trade Desk (TTD) — 2026 Q2 Earnings Preview</w:t>
      </w:r>
    </w:p>
    <w:p>
      <w:pPr>
        <w:pStyle w:val="BlockText"/>
      </w:pPr>
      <w:r>
        <w:rPr>
          <w:b/>
          <w:bCs/>
        </w:rPr>
        <w:t xml:space="preserve">Timing clarification:</w:t>
      </w:r>
      <w:r>
        <w:t xml:space="preserve"> </w:t>
      </w:r>
      <w:r>
        <w:t xml:space="preserve">The earnings call is scheduled for</w:t>
      </w:r>
      <w:r>
        <w:t xml:space="preserve"> </w:t>
      </w:r>
      <w:r>
        <w:rPr>
          <w:b/>
          <w:bCs/>
        </w:rPr>
        <w:t xml:space="preserve">Thursday, August 6, 2026, after the U.S. market close</w:t>
      </w:r>
      <w:r>
        <w:t xml:space="preserve">—today, based on the current date—not tomorrow.</w:t>
      </w:r>
    </w:p>
    <w:bookmarkStart w:id="9" w:name="executive-summary"/>
    <w:p>
      <w:pPr>
        <w:pStyle w:val="Heading2"/>
      </w:pPr>
      <w:r>
        <w:t xml:space="preserve">Executive summary</w:t>
      </w:r>
    </w:p>
    <w:p>
      <w:pPr>
        <w:pStyle w:val="FirstParagraph"/>
      </w:pPr>
      <w:r>
        <w:t xml:space="preserve">This report is less about whether The Trade Desk clears its deliberately conservative Q2 guidance and more about whether management can restore confidence in the company’s</w:t>
      </w:r>
      <w:r>
        <w:t xml:space="preserve"> </w:t>
      </w:r>
      <w:r>
        <w:rPr>
          <w:b/>
          <w:bCs/>
        </w:rPr>
        <w:t xml:space="preserve">growth durability, agency relationships, pricing transparency, and cost discipline</w:t>
      </w:r>
      <w:r>
        <w:t xml:space="preserve">.</w:t>
      </w:r>
    </w:p>
    <w:p>
      <w:pPr>
        <w:pStyle w:val="BodyText"/>
      </w:pPr>
      <w:r>
        <w:t xml:space="preserve">Wall Street expects approximately</w:t>
      </w:r>
      <w:r>
        <w:t xml:space="preserve"> </w:t>
      </w:r>
      <m:oMath>
        <m:r>
          <m:t>752</m:t>
        </m:r>
        <m:r>
          <m:t>m</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u</m:t>
        </m:r>
        <m:r>
          <m:t>p</m:t>
        </m:r>
        <m:r>
          <m:t>8.4</m:t>
        </m:r>
      </m:oMath>
      <w:r>
        <w:rPr>
          <w:b/>
          <w:bCs/>
        </w:rPr>
        <w:t xml:space="preserve">262 million of adjusted EBITDA</w:t>
      </w:r>
      <w:r>
        <w:t xml:space="preserve">. Those estimates sit only modestly above management’s guidance of at least $750 million and approximately $260 million, respectively.</w:t>
      </w:r>
    </w:p>
    <w:p>
      <w:pPr>
        <w:pStyle w:val="BodyText"/>
      </w:pPr>
      <w:r>
        <w:t xml:space="preserve">The crucial issue is the outlook. Investors need evidence that Q2 represents a growth trough rather than a new normal. A small headline beat accompanied by another high-single-digit revenue guide would probably not settle that debate.</w:t>
      </w:r>
    </w:p>
    <w:bookmarkEnd w:id="9"/>
    <w:bookmarkStart w:id="10" w:name="expectations-and-recent-performance"/>
    <w:p>
      <w:pPr>
        <w:pStyle w:val="Heading2"/>
      </w:pPr>
      <w:r>
        <w:t xml:space="preserve">Expectations and recent performance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~$752M</w:t>
            </w:r>
          </w:p>
        </w:tc>
        <w:tc>
          <w:tcPr/>
          <w:p>
            <w:pPr>
              <w:pStyle w:val="Compact"/>
              <w:jc w:val="right"/>
            </w:pPr>
            <w:r>
              <w:t xml:space="preserve">$694M</w:t>
            </w:r>
          </w:p>
        </w:tc>
        <w:tc>
          <w:tcPr/>
          <w:p>
            <w:pPr>
              <w:pStyle w:val="Compact"/>
              <w:jc w:val="right"/>
            </w:pPr>
            <w:r>
              <w:t xml:space="preserve">~8.4%</w:t>
            </w:r>
          </w:p>
        </w:tc>
      </w:tr>
      <w:tr>
        <w:tc>
          <w:tcPr/>
          <w:p>
            <w:pPr>
              <w:pStyle w:val="Compact"/>
            </w:pPr>
            <w:r>
              <w:t xml:space="preserve">Adjusted EBITDA</w:t>
            </w:r>
          </w:p>
        </w:tc>
        <w:tc>
          <w:tcPr/>
          <w:p>
            <w:pPr>
              <w:pStyle w:val="Compact"/>
              <w:jc w:val="right"/>
            </w:pPr>
            <w:r>
              <w:t xml:space="preserve">~$262M</w:t>
            </w:r>
          </w:p>
        </w:tc>
        <w:tc>
          <w:tcPr/>
          <w:p>
            <w:pPr>
              <w:pStyle w:val="Compact"/>
              <w:jc w:val="right"/>
            </w:pPr>
            <w:r>
              <w:t xml:space="preserve">$271M</w:t>
            </w:r>
          </w:p>
        </w:tc>
        <w:tc>
          <w:tcPr/>
          <w:p>
            <w:pPr>
              <w:pStyle w:val="Compact"/>
              <w:jc w:val="right"/>
            </w:pPr>
            <w:r>
              <w:t xml:space="preserve">~(3)%</w:t>
            </w:r>
          </w:p>
        </w:tc>
      </w:tr>
      <w:tr>
        <w:tc>
          <w:tcPr/>
          <w:p>
            <w:pPr>
              <w:pStyle w:val="Compact"/>
            </w:pPr>
            <w:r>
              <w:t xml:space="preserve">Adjusted EBITDA margin</w:t>
            </w:r>
          </w:p>
        </w:tc>
        <w:tc>
          <w:tcPr/>
          <w:p>
            <w:pPr>
              <w:pStyle w:val="Compact"/>
              <w:jc w:val="right"/>
            </w:pPr>
            <w:r>
              <w:t xml:space="preserve">~34.8%</w:t>
            </w:r>
          </w:p>
        </w:tc>
        <w:tc>
          <w:tcPr/>
          <w:p>
            <w:pPr>
              <w:pStyle w:val="Compact"/>
              <w:jc w:val="right"/>
            </w:pPr>
            <w:r>
              <w:t xml:space="preserve">39.0%</w:t>
            </w:r>
          </w:p>
        </w:tc>
        <w:tc>
          <w:tcPr/>
          <w:p>
            <w:pPr>
              <w:pStyle w:val="Compact"/>
              <w:jc w:val="right"/>
            </w:pPr>
            <w:r>
              <w:t xml:space="preserve">~(420) bps</w:t>
            </w:r>
          </w:p>
        </w:tc>
      </w:tr>
    </w:tbl>
    <w:p>
      <w:pPr>
        <w:pStyle w:val="BodyText"/>
      </w:pPr>
      <w:r>
        <w:t xml:space="preserve">Management’s own Q2 guidance calls for:</w:t>
      </w:r>
    </w:p>
    <w:p>
      <w:pPr>
        <w:pStyle w:val="Compact"/>
        <w:numPr>
          <w:ilvl w:val="0"/>
          <w:numId w:val="1001"/>
        </w:numPr>
      </w:pPr>
      <w:r>
        <w:rPr>
          <w:b/>
          <w:bCs/>
        </w:rPr>
        <w:t xml:space="preserve">Revenue of at least $750 million</w:t>
      </w:r>
    </w:p>
    <w:p>
      <w:pPr>
        <w:pStyle w:val="Compact"/>
        <w:numPr>
          <w:ilvl w:val="0"/>
          <w:numId w:val="1001"/>
        </w:numPr>
      </w:pPr>
      <w:r>
        <w:rPr>
          <w:b/>
          <w:bCs/>
        </w:rPr>
        <w:t xml:space="preserve">Adjusted EBITDA of approximately $260 million</w:t>
      </w:r>
    </w:p>
    <w:p>
      <w:pPr>
        <w:pStyle w:val="Compact"/>
        <w:numPr>
          <w:ilvl w:val="0"/>
          <w:numId w:val="1001"/>
        </w:numPr>
      </w:pPr>
      <w:r>
        <w:rPr>
          <w:b/>
          <w:bCs/>
        </w:rPr>
        <w:t xml:space="preserve">Full-year adjusted EBITDA margin of at least 40%</w:t>
      </w:r>
    </w:p>
    <w:p>
      <w:pPr>
        <w:pStyle w:val="FirstParagraph"/>
      </w:pPr>
      <w:r>
        <w:t xml:space="preserve">The expected revenue growth rate marks a meaningful slowdown from:</w:t>
      </w:r>
    </w:p>
    <w:p>
      <w:pPr>
        <w:pStyle w:val="Compact"/>
        <w:numPr>
          <w:ilvl w:val="0"/>
          <w:numId w:val="1002"/>
        </w:numPr>
      </w:pPr>
      <w:r>
        <w:t xml:space="preserve">19% in Q2 2025</w:t>
      </w:r>
    </w:p>
    <w:p>
      <w:pPr>
        <w:pStyle w:val="Compact"/>
        <w:numPr>
          <w:ilvl w:val="0"/>
          <w:numId w:val="1002"/>
        </w:numPr>
      </w:pPr>
      <w:r>
        <w:t xml:space="preserve">14% in Q4 2025</w:t>
      </w:r>
    </w:p>
    <w:p>
      <w:pPr>
        <w:pStyle w:val="Compact"/>
        <w:numPr>
          <w:ilvl w:val="0"/>
          <w:numId w:val="1002"/>
        </w:numPr>
      </w:pPr>
      <w:r>
        <w:t xml:space="preserve">12% in Q1 2026</w:t>
      </w:r>
    </w:p>
    <w:p>
      <w:pPr>
        <w:pStyle w:val="Compact"/>
        <w:numPr>
          <w:ilvl w:val="0"/>
          <w:numId w:val="1002"/>
        </w:numPr>
      </w:pPr>
      <w:r>
        <w:t xml:space="preserve">Approximately 8% implied by the Q2 guide</w:t>
      </w:r>
    </w:p>
    <w:p>
      <w:pPr>
        <w:pStyle w:val="FirstParagraph"/>
      </w:pPr>
      <w:r>
        <w:t xml:space="preserve">The stock closed at</w:t>
      </w:r>
      <w:r>
        <w:t xml:space="preserve"> </w:t>
      </w:r>
      <w:r>
        <w:rPr>
          <w:b/>
          <w:bCs/>
        </w:rPr>
        <w:t xml:space="preserve">$18.98 on August 5</w:t>
      </w:r>
      <w:r>
        <w:t xml:space="preserve">, down 50% from $37.96 at the end of 2025 and approximately 19% since the Q1 report. Expectations are depressed, but so is investor confidence.</w:t>
      </w:r>
    </w:p>
    <w:bookmarkEnd w:id="10"/>
    <w:bookmarkStart w:id="20" w:name="the-five-questions-that-matter"/>
    <w:p>
      <w:pPr>
        <w:pStyle w:val="Heading2"/>
      </w:pPr>
      <w:r>
        <w:t xml:space="preserve">The five questions that matter</w:t>
      </w:r>
    </w:p>
    <w:bookmarkStart w:id="11" w:name="X0c5bfcef7f34609409b7acc12c9a8a7c073dbd4"/>
    <w:p>
      <w:pPr>
        <w:pStyle w:val="Heading3"/>
      </w:pPr>
      <w:r>
        <w:t xml:space="preserve">1. Is growth stabilizing—or still deteriorating?</w:t>
      </w:r>
    </w:p>
    <w:p>
      <w:pPr>
        <w:pStyle w:val="FirstParagraph"/>
      </w:pPr>
      <w:r>
        <w:t xml:space="preserve">Management attributed the Q2 slowdown primarily to macroeconomic pressure affecting large global advertisers, particularly in CPG and, to a lesser extent, automotive. Food &amp; Drink and Home &amp; Garden were weak in Q1, while medical, automotive and events performed relatively well.</w:t>
      </w:r>
    </w:p>
    <w:p>
      <w:pPr>
        <w:pStyle w:val="BodyText"/>
      </w:pPr>
      <w:r>
        <w:t xml:space="preserve">The most important data point will be the</w:t>
      </w:r>
      <w:r>
        <w:t xml:space="preserve"> </w:t>
      </w:r>
      <w:r>
        <w:rPr>
          <w:b/>
          <w:bCs/>
        </w:rPr>
        <w:t xml:space="preserve">Q3 revenue outlook</w:t>
      </w:r>
      <w:r>
        <w:t xml:space="preserve">. Investors should listen for:</w:t>
      </w:r>
    </w:p>
    <w:p>
      <w:pPr>
        <w:pStyle w:val="Compact"/>
        <w:numPr>
          <w:ilvl w:val="0"/>
          <w:numId w:val="1003"/>
        </w:numPr>
      </w:pPr>
      <w:r>
        <w:t xml:space="preserve">Whether July trends improved, stabilized or weakened</w:t>
      </w:r>
    </w:p>
    <w:p>
      <w:pPr>
        <w:pStyle w:val="Compact"/>
        <w:numPr>
          <w:ilvl w:val="0"/>
          <w:numId w:val="1003"/>
        </w:numPr>
      </w:pPr>
      <w:r>
        <w:t xml:space="preserve">Evidence that CPG and automotive budgets are recovering</w:t>
      </w:r>
    </w:p>
    <w:p>
      <w:pPr>
        <w:pStyle w:val="Compact"/>
        <w:numPr>
          <w:ilvl w:val="0"/>
          <w:numId w:val="1003"/>
        </w:numPr>
      </w:pPr>
      <w:r>
        <w:t xml:space="preserve">Whether easier comparisons can support second-half acceleration</w:t>
      </w:r>
    </w:p>
    <w:p>
      <w:pPr>
        <w:pStyle w:val="Compact"/>
        <w:numPr>
          <w:ilvl w:val="0"/>
          <w:numId w:val="1003"/>
        </w:numPr>
      </w:pPr>
      <w:r>
        <w:t xml:space="preserve">How much of the slowdown is macroeconomic versus company-specific</w:t>
      </w:r>
    </w:p>
    <w:p>
      <w:pPr>
        <w:pStyle w:val="Compact"/>
        <w:numPr>
          <w:ilvl w:val="0"/>
          <w:numId w:val="1003"/>
        </w:numPr>
      </w:pPr>
      <w:r>
        <w:t xml:space="preserve">Whether international growth remains substantially above U.S. growth</w:t>
      </w:r>
    </w:p>
    <w:p>
      <w:pPr>
        <w:pStyle w:val="FirstParagraph"/>
      </w:pPr>
      <w:r>
        <w:t xml:space="preserve">A credible reacceleration narrative would likely require more than citing long-term CTV and retail-media tailwinds. Management needs to connect recent customer wins and product adoption to near-term revenue.</w:t>
      </w:r>
    </w:p>
    <w:bookmarkEnd w:id="11"/>
    <w:bookmarkStart w:id="12" w:name="Xd9e49d7758b5485d77527612fb35b3241c50a52"/>
    <w:p>
      <w:pPr>
        <w:pStyle w:val="Heading3"/>
      </w:pPr>
      <w:r>
        <w:t xml:space="preserve">2. What is happening with agencies, especially Publicis?</w:t>
      </w:r>
    </w:p>
    <w:p>
      <w:pPr>
        <w:pStyle w:val="FirstParagraph"/>
      </w:pPr>
      <w:r>
        <w:t xml:space="preserve">This remains the largest company-specific risk.</w:t>
      </w:r>
    </w:p>
    <w:p>
      <w:pPr>
        <w:pStyle w:val="BodyText"/>
      </w:pPr>
      <w:r>
        <w:t xml:space="preserve">During the Q1 call, CEO Jeff Green said discussions with Publicis were ongoing and characterized reports of conflict as overdramatic. He also said there was no additional agency-related weakness embedded in the Q2 guide.</w:t>
      </w:r>
    </w:p>
    <w:p>
      <w:pPr>
        <w:pStyle w:val="BodyText"/>
      </w:pPr>
      <w:r>
        <w:t xml:space="preserve">That reassurance now needs validation in the numbers. The concentration risk is material: two advertising holding companies each accounted for more than 10% of TTD’s 2025 gross billings when relationships are aggregated at the holding-company level.</w:t>
      </w:r>
    </w:p>
    <w:p>
      <w:pPr>
        <w:pStyle w:val="BodyText"/>
      </w:pPr>
      <w:r>
        <w:t xml:space="preserve">Questions investors need answered:</w:t>
      </w:r>
    </w:p>
    <w:p>
      <w:pPr>
        <w:pStyle w:val="Compact"/>
        <w:numPr>
          <w:ilvl w:val="0"/>
          <w:numId w:val="1004"/>
        </w:numPr>
      </w:pPr>
      <w:r>
        <w:t xml:space="preserve">Has TTD reached a new agreement with Publicis?</w:t>
      </w:r>
    </w:p>
    <w:p>
      <w:pPr>
        <w:pStyle w:val="Compact"/>
        <w:numPr>
          <w:ilvl w:val="0"/>
          <w:numId w:val="1004"/>
        </w:numPr>
      </w:pPr>
      <w:r>
        <w:t xml:space="preserve">Did Publicis-related spending decline during Q2?</w:t>
      </w:r>
    </w:p>
    <w:p>
      <w:pPr>
        <w:pStyle w:val="Compact"/>
        <w:numPr>
          <w:ilvl w:val="0"/>
          <w:numId w:val="1004"/>
        </w:numPr>
      </w:pPr>
      <w:r>
        <w:t xml:space="preserve">Are other agencies changing allocations or negotiating lower fees?</w:t>
      </w:r>
    </w:p>
    <w:p>
      <w:pPr>
        <w:pStyle w:val="Compact"/>
        <w:numPr>
          <w:ilvl w:val="0"/>
          <w:numId w:val="1004"/>
        </w:numPr>
      </w:pPr>
      <w:r>
        <w:t xml:space="preserve">Are direct advertiser relationships offsetting agency pressure?</w:t>
      </w:r>
    </w:p>
    <w:p>
      <w:pPr>
        <w:pStyle w:val="Compact"/>
        <w:numPr>
          <w:ilvl w:val="0"/>
          <w:numId w:val="1004"/>
        </w:numPr>
      </w:pPr>
      <w:r>
        <w:t xml:space="preserve">Did the strong joint-business-plan pipeline convert into actual platform spending?</w:t>
      </w:r>
    </w:p>
    <w:p>
      <w:pPr>
        <w:pStyle w:val="FirstParagraph"/>
      </w:pPr>
      <w:r>
        <w:t xml:space="preserve">The bullish evidence is that Q1 JBP count increased 55% year over year, with 45 JBPs signed in March alone and new JBP deal spend up 40%. Those agreements should begin showing up in subsequent results. If they did not, investors will want to understand the implementation lag.</w:t>
      </w:r>
    </w:p>
    <w:bookmarkEnd w:id="12"/>
    <w:bookmarkStart w:id="13" w:name="X153f854d68ac1b677fdfd47d7a034c525bd648e"/>
    <w:p>
      <w:pPr>
        <w:pStyle w:val="Heading3"/>
      </w:pPr>
      <w:r>
        <w:t xml:space="preserve">3. Can TTD defend its economics while answering transparency concerns?</w:t>
      </w:r>
    </w:p>
    <w:p>
      <w:pPr>
        <w:pStyle w:val="FirstParagraph"/>
      </w:pPr>
      <w:r>
        <w:t xml:space="preserve">Recent sentiment has been hurt by controversy around billing practices, cost reporting and platform transparency. The company’s Q1 filing explicitly discussed risks involving:</w:t>
      </w:r>
    </w:p>
    <w:p>
      <w:pPr>
        <w:pStyle w:val="Compact"/>
        <w:numPr>
          <w:ilvl w:val="0"/>
          <w:numId w:val="1005"/>
        </w:numPr>
      </w:pPr>
      <w:r>
        <w:t xml:space="preserve">Discrepancies between costs billed and costs paid</w:t>
      </w:r>
    </w:p>
    <w:p>
      <w:pPr>
        <w:pStyle w:val="Compact"/>
        <w:numPr>
          <w:ilvl w:val="0"/>
          <w:numId w:val="1005"/>
        </w:numPr>
      </w:pPr>
      <w:r>
        <w:t xml:space="preserve">Changing standards for counting impressions</w:t>
      </w:r>
    </w:p>
    <w:p>
      <w:pPr>
        <w:pStyle w:val="Compact"/>
        <w:numPr>
          <w:ilvl w:val="0"/>
          <w:numId w:val="1005"/>
        </w:numPr>
      </w:pPr>
      <w:r>
        <w:t xml:space="preserve">Billing disputes and adjustments</w:t>
      </w:r>
    </w:p>
    <w:p>
      <w:pPr>
        <w:pStyle w:val="Compact"/>
        <w:numPr>
          <w:ilvl w:val="0"/>
          <w:numId w:val="1005"/>
        </w:numPr>
      </w:pPr>
      <w:r>
        <w:t xml:space="preserve">Supply-chain inefficiencies</w:t>
      </w:r>
    </w:p>
    <w:p>
      <w:pPr>
        <w:pStyle w:val="Compact"/>
        <w:numPr>
          <w:ilvl w:val="0"/>
          <w:numId w:val="1005"/>
        </w:numPr>
      </w:pPr>
      <w:r>
        <w:t xml:space="preserve">Collection risk involving agencies and publishers</w:t>
      </w:r>
    </w:p>
    <w:p>
      <w:pPr>
        <w:pStyle w:val="FirstParagraph"/>
      </w:pPr>
      <w:r>
        <w:t xml:space="preserve">These disclosures do not establish that TTD has a material financial problem, but they make transparency a central topic for the call. Management should clearly explain:</w:t>
      </w:r>
    </w:p>
    <w:p>
      <w:pPr>
        <w:pStyle w:val="Compact"/>
        <w:numPr>
          <w:ilvl w:val="0"/>
          <w:numId w:val="1006"/>
        </w:numPr>
      </w:pPr>
      <w:r>
        <w:t xml:space="preserve">Whether any billing or counting disputes had a material Q2 impact</w:t>
      </w:r>
    </w:p>
    <w:p>
      <w:pPr>
        <w:pStyle w:val="Compact"/>
        <w:numPr>
          <w:ilvl w:val="0"/>
          <w:numId w:val="1006"/>
        </w:numPr>
      </w:pPr>
      <w:r>
        <w:t xml:space="preserve">Whether pricing changes affected customer behavior</w:t>
      </w:r>
    </w:p>
    <w:p>
      <w:pPr>
        <w:pStyle w:val="Compact"/>
        <w:numPr>
          <w:ilvl w:val="0"/>
          <w:numId w:val="1006"/>
        </w:numPr>
      </w:pPr>
      <w:r>
        <w:t xml:space="preserve">How revenue growth compares with gross platform spend growth</w:t>
      </w:r>
    </w:p>
    <w:p>
      <w:pPr>
        <w:pStyle w:val="Compact"/>
        <w:numPr>
          <w:ilvl w:val="0"/>
          <w:numId w:val="1006"/>
        </w:numPr>
      </w:pPr>
      <w:r>
        <w:t xml:space="preserve">How new cost-reporting and measurement products improve auditability</w:t>
      </w:r>
    </w:p>
    <w:p>
      <w:pPr>
        <w:pStyle w:val="Compact"/>
        <w:numPr>
          <w:ilvl w:val="0"/>
          <w:numId w:val="1006"/>
        </w:numPr>
      </w:pPr>
      <w:r>
        <w:t xml:space="preserve">Whether internal controls or accounting policies changed</w:t>
      </w:r>
    </w:p>
    <w:p>
      <w:pPr>
        <w:pStyle w:val="FirstParagraph"/>
      </w:pPr>
      <w:r>
        <w:t xml:space="preserve">The revenue mix deserves particular scrutiny. In Q1, management said growth came not only from greater gross spend but also from higher platform fees, increased pricing and greater use of value-added services. Investors need to determine whether monetization is rising because TTD is delivering more value—or whether higher effective pricing is creating customer friction.</w:t>
      </w:r>
    </w:p>
    <w:bookmarkEnd w:id="13"/>
    <w:bookmarkStart w:id="14" w:name="Xcbe88abbced9f4ac784ad1958e4282bfea1dec0"/>
    <w:p>
      <w:pPr>
        <w:pStyle w:val="Heading3"/>
      </w:pPr>
      <w:r>
        <w:t xml:space="preserve">4. Are infrastructure investments producing operating leverage?</w:t>
      </w:r>
    </w:p>
    <w:p>
      <w:pPr>
        <w:pStyle w:val="FirstParagraph"/>
      </w:pPr>
      <w:r>
        <w:t xml:space="preserve">Q1’s revenue growth was respectable, but the cost structure was less encouraging:</w:t>
      </w:r>
    </w:p>
    <w:p>
      <w:pPr>
        <w:pStyle w:val="Compact"/>
        <w:numPr>
          <w:ilvl w:val="0"/>
          <w:numId w:val="1007"/>
        </w:numPr>
      </w:pPr>
      <w:r>
        <w:t xml:space="preserve">Revenue increased 12%</w:t>
      </w:r>
    </w:p>
    <w:p>
      <w:pPr>
        <w:pStyle w:val="Compact"/>
        <w:numPr>
          <w:ilvl w:val="0"/>
          <w:numId w:val="1007"/>
        </w:numPr>
      </w:pPr>
      <w:r>
        <w:t xml:space="preserve">Adjusted EBITDA declined 1%</w:t>
      </w:r>
    </w:p>
    <w:p>
      <w:pPr>
        <w:pStyle w:val="Compact"/>
        <w:numPr>
          <w:ilvl w:val="0"/>
          <w:numId w:val="1007"/>
        </w:numPr>
      </w:pPr>
      <w:r>
        <w:t xml:space="preserve">Platform-operations expense increased 27%</w:t>
      </w:r>
    </w:p>
    <w:p>
      <w:pPr>
        <w:pStyle w:val="Compact"/>
        <w:numPr>
          <w:ilvl w:val="0"/>
          <w:numId w:val="1007"/>
        </w:numPr>
      </w:pPr>
      <w:r>
        <w:t xml:space="preserve">Hosting costs rose by $23 million</w:t>
      </w:r>
    </w:p>
    <w:p>
      <w:pPr>
        <w:pStyle w:val="Compact"/>
        <w:numPr>
          <w:ilvl w:val="0"/>
          <w:numId w:val="1007"/>
        </w:numPr>
      </w:pPr>
      <w:r>
        <w:t xml:space="preserve">Data-related costs rose by $11 million</w:t>
      </w:r>
    </w:p>
    <w:p>
      <w:pPr>
        <w:pStyle w:val="Compact"/>
        <w:numPr>
          <w:ilvl w:val="0"/>
          <w:numId w:val="1007"/>
        </w:numPr>
      </w:pPr>
      <w:r>
        <w:t xml:space="preserve">Capital expenditures for property and equipment were $113 million, versus $59 million a year earlier</w:t>
      </w:r>
    </w:p>
    <w:p>
      <w:pPr>
        <w:pStyle w:val="FirstParagraph"/>
      </w:pPr>
      <w:r>
        <w:t xml:space="preserve">Management attributed the increase to new data centers, higher query volume, AI and machine-learning workloads, and investments in value-added data.</w:t>
      </w:r>
    </w:p>
    <w:p>
      <w:pPr>
        <w:pStyle w:val="BodyText"/>
      </w:pPr>
      <w:r>
        <w:t xml:space="preserve">Q2 adjusted EBITDA of $262 million would imply a margin near 35%, down from 39% last year. That is consistent with management’s “disciplined reinvestment” message, but maintaining a full-year margin of at least 40% will require substantial second-half leverage, aided by normal Q4 seasonality.</w:t>
      </w:r>
    </w:p>
    <w:p>
      <w:pPr>
        <w:pStyle w:val="BodyText"/>
      </w:pPr>
      <w:r>
        <w:t xml:space="preserve">Investors should focus on:</w:t>
      </w:r>
    </w:p>
    <w:p>
      <w:pPr>
        <w:pStyle w:val="Compact"/>
        <w:numPr>
          <w:ilvl w:val="0"/>
          <w:numId w:val="1008"/>
        </w:numPr>
      </w:pPr>
      <w:r>
        <w:t xml:space="preserve">Platform-operations expense growth relative to revenue</w:t>
      </w:r>
    </w:p>
    <w:p>
      <w:pPr>
        <w:pStyle w:val="Compact"/>
        <w:numPr>
          <w:ilvl w:val="0"/>
          <w:numId w:val="1008"/>
        </w:numPr>
      </w:pPr>
      <w:r>
        <w:t xml:space="preserve">Hosting-cost inflation and data-center utilization</w:t>
      </w:r>
    </w:p>
    <w:p>
      <w:pPr>
        <w:pStyle w:val="Compact"/>
        <w:numPr>
          <w:ilvl w:val="0"/>
          <w:numId w:val="1008"/>
        </w:numPr>
      </w:pPr>
      <w:r>
        <w:t xml:space="preserve">Capital-expenditure expectations</w:t>
      </w:r>
    </w:p>
    <w:p>
      <w:pPr>
        <w:pStyle w:val="Compact"/>
        <w:numPr>
          <w:ilvl w:val="0"/>
          <w:numId w:val="1008"/>
        </w:numPr>
      </w:pPr>
      <w:r>
        <w:t xml:space="preserve">Headcount growth</w:t>
      </w:r>
    </w:p>
    <w:p>
      <w:pPr>
        <w:pStyle w:val="Compact"/>
        <w:numPr>
          <w:ilvl w:val="0"/>
          <w:numId w:val="1008"/>
        </w:numPr>
      </w:pPr>
      <w:r>
        <w:t xml:space="preserve">Whether management reiterates the 40% full-year margin floor</w:t>
      </w:r>
    </w:p>
    <w:p>
      <w:pPr>
        <w:pStyle w:val="Compact"/>
        <w:numPr>
          <w:ilvl w:val="0"/>
          <w:numId w:val="1008"/>
        </w:numPr>
      </w:pPr>
      <w:r>
        <w:t xml:space="preserve">Whether the company can fund AI investment without structurally reducing margins</w:t>
      </w:r>
    </w:p>
    <w:p>
      <w:pPr>
        <w:pStyle w:val="FirstParagraph"/>
      </w:pPr>
      <w:r>
        <w:t xml:space="preserve">A revenue beat created by unexpectedly high infrastructure or data costs would be lower quality than a result accompanied by margin stability.</w:t>
      </w:r>
    </w:p>
    <w:bookmarkEnd w:id="14"/>
    <w:bookmarkStart w:id="19" w:name="Xac1f55b57bd9162f61005a914caac65cd2348cf"/>
    <w:p>
      <w:pPr>
        <w:pStyle w:val="Heading3"/>
      </w:pPr>
      <w:r>
        <w:t xml:space="preserve">5. Are the strategic growth initiatives moving the P&amp;L?</w:t>
      </w:r>
    </w:p>
    <w:p>
      <w:pPr>
        <w:pStyle w:val="FirstParagraph"/>
      </w:pPr>
      <w:r>
        <w:t xml:space="preserve">TTD has no shortage of potentially important products and partnerships. The issue is commercial scale.</w:t>
      </w:r>
    </w:p>
    <w:bookmarkStart w:id="15" w:name="connected-tv"/>
    <w:p>
      <w:pPr>
        <w:pStyle w:val="Heading4"/>
      </w:pPr>
      <w:r>
        <w:t xml:space="preserve">Connected TV</w:t>
      </w:r>
    </w:p>
    <w:p>
      <w:pPr>
        <w:pStyle w:val="FirstParagraph"/>
      </w:pPr>
      <w:r>
        <w:t xml:space="preserve">CTV remains the core secular driver. Video, including CTV, represented a low-50s percentage of Q1 revenue and continued gaining mix. Relevant partnerships include Disney, Netflix, NBCUniversal, Spotify, Paramount and Xumo.</w:t>
      </w:r>
    </w:p>
    <w:p>
      <w:pPr>
        <w:pStyle w:val="BodyText"/>
      </w:pPr>
      <w:r>
        <w:t xml:space="preserve">Investors should look for evidence that premium, biddable CTV inventory is expanding fast enough to offset weakness elsewhere.</w:t>
      </w:r>
    </w:p>
    <w:bookmarkEnd w:id="15"/>
    <w:bookmarkStart w:id="16" w:name="retail-media-and-data"/>
    <w:p>
      <w:pPr>
        <w:pStyle w:val="Heading4"/>
      </w:pPr>
      <w:r>
        <w:t xml:space="preserve">Retail media and data</w:t>
      </w:r>
    </w:p>
    <w:p>
      <w:pPr>
        <w:pStyle w:val="FirstParagraph"/>
      </w:pPr>
      <w:r>
        <w:t xml:space="preserve">TTD says its retail-data marketplace represents retailers covering more than 80% of top U.S. retail sales. Audience Unlimited has produced encouraging campaign case studies, while integrations with Dollar General, Koddi, Lyft and others expand the opportunity into onsite and offsite retail media.</w:t>
      </w:r>
    </w:p>
    <w:p>
      <w:pPr>
        <w:pStyle w:val="BodyText"/>
      </w:pPr>
      <w:r>
        <w:t xml:space="preserve">The key question is whether these offerings are already contributing meaningful revenue and spend, rather than remaining primarily future opportunities.</w:t>
      </w:r>
    </w:p>
    <w:bookmarkEnd w:id="16"/>
    <w:bookmarkStart w:id="17" w:name="ai-and-openttd"/>
    <w:p>
      <w:pPr>
        <w:pStyle w:val="Heading4"/>
      </w:pPr>
      <w:r>
        <w:t xml:space="preserve">AI and OpenTTD</w:t>
      </w:r>
    </w:p>
    <w:p>
      <w:pPr>
        <w:pStyle w:val="FirstParagraph"/>
      </w:pPr>
      <w:r>
        <w:t xml:space="preserve">Management argues that TTD will lead the adoption of agentic AI in programmatic advertising. The Stagwell partnership initially covers campaign creation and editing, with optimization expected later.</w:t>
      </w:r>
    </w:p>
    <w:p>
      <w:pPr>
        <w:pStyle w:val="BodyText"/>
      </w:pPr>
      <w:r>
        <w:t xml:space="preserve">Investors should separate:</w:t>
      </w:r>
    </w:p>
    <w:p>
      <w:pPr>
        <w:pStyle w:val="Compact"/>
        <w:numPr>
          <w:ilvl w:val="0"/>
          <w:numId w:val="1009"/>
        </w:numPr>
      </w:pPr>
      <w:r>
        <w:t xml:space="preserve">AI features that improve customer performance and retention today</w:t>
      </w:r>
    </w:p>
    <w:p>
      <w:pPr>
        <w:pStyle w:val="Compact"/>
        <w:numPr>
          <w:ilvl w:val="0"/>
          <w:numId w:val="1009"/>
        </w:numPr>
      </w:pPr>
      <w:r>
        <w:t xml:space="preserve">AI infrastructure that currently raises costs</w:t>
      </w:r>
    </w:p>
    <w:p>
      <w:pPr>
        <w:pStyle w:val="Compact"/>
        <w:numPr>
          <w:ilvl w:val="0"/>
          <w:numId w:val="1009"/>
        </w:numPr>
      </w:pPr>
      <w:r>
        <w:t xml:space="preserve">Longer-term opportunities involving AI search and chatbot inventory</w:t>
      </w:r>
    </w:p>
    <w:p>
      <w:pPr>
        <w:pStyle w:val="FirstParagraph"/>
      </w:pPr>
      <w:r>
        <w:t xml:space="preserve">The latter is strategically interesting but unlikely to be financially material in the immediate outlook.</w:t>
      </w:r>
    </w:p>
    <w:bookmarkEnd w:id="17"/>
    <w:bookmarkStart w:id="18" w:name="international"/>
    <w:p>
      <w:pPr>
        <w:pStyle w:val="Heading4"/>
      </w:pPr>
      <w:r>
        <w:t xml:space="preserve">International</w:t>
      </w:r>
    </w:p>
    <w:p>
      <w:pPr>
        <w:pStyle w:val="FirstParagraph"/>
      </w:pPr>
      <w:r>
        <w:t xml:space="preserve">International represented 18% of Q1 revenue and was growing faster than the United States, particularly in EMEA and APAC. Continued international outperformance would provide evidence that the slowdown is concentrated in certain U.S. advertiser verticals rather than reflecting broad competitive share loss.</w:t>
      </w:r>
    </w:p>
    <w:bookmarkEnd w:id="18"/>
    <w:bookmarkEnd w:id="19"/>
    <w:bookmarkEnd w:id="20"/>
    <w:bookmarkStart w:id="21" w:name="leadership-and-capital-allocation"/>
    <w:p>
      <w:pPr>
        <w:pStyle w:val="Heading2"/>
      </w:pPr>
      <w:r>
        <w:t xml:space="preserve">Leadership and capital allocation</w:t>
      </w:r>
    </w:p>
    <w:p>
      <w:pPr>
        <w:pStyle w:val="FirstParagraph"/>
      </w:pPr>
      <w:r>
        <w:t xml:space="preserve">This will be</w:t>
      </w:r>
      <w:r>
        <w:t xml:space="preserve"> </w:t>
      </w:r>
      <w:r>
        <w:rPr>
          <w:b/>
          <w:bCs/>
        </w:rPr>
        <w:t xml:space="preserve">Nate Olmstead’s first earnings call as CFO</w:t>
      </w:r>
      <w:r>
        <w:t xml:space="preserve"> </w:t>
      </w:r>
      <w:r>
        <w:t xml:space="preserve">after taking the role on July 9. His commentary on operating discipline, investment returns and financial disclosure may be nearly as important as the quarter itself.</w:t>
      </w:r>
    </w:p>
    <w:p>
      <w:pPr>
        <w:pStyle w:val="BodyText"/>
      </w:pPr>
      <w:r>
        <w:t xml:space="preserve">Capital allocation also deserves scrutiny. TTD spent approximately</w:t>
      </w:r>
      <w:r>
        <w:t xml:space="preserve"> </w:t>
      </w:r>
      <w:r>
        <w:rPr>
          <w:b/>
          <w:bCs/>
        </w:rPr>
        <w:t xml:space="preserve">$1.4 billion on repurchases during 2025 at an average price of $52.60</w:t>
      </w:r>
      <w:r>
        <w:t xml:space="preserve">, substantially above the recent share price. It repurchased another $164 million in Q1 and had $327 million of authorization remaining at March 31.</w:t>
      </w:r>
    </w:p>
    <w:p>
      <w:pPr>
        <w:pStyle w:val="BodyText"/>
      </w:pPr>
      <w:r>
        <w:t xml:space="preserve">The company has ample liquidity—approximately $1.4 billion in cash and short-term investments at the end of Q1—but investors should ask whether future repurchases will be more valuation-sensitive and how management balances buybacks against rising infrastructure requirements.</w:t>
      </w:r>
    </w:p>
    <w:bookmarkEnd w:id="21"/>
    <w:bookmarkStart w:id="25" w:name="bull-base-and-bear-outcomes"/>
    <w:p>
      <w:pPr>
        <w:pStyle w:val="Heading2"/>
      </w:pPr>
      <w:r>
        <w:t xml:space="preserve">Bull, base and bear outcomes</w:t>
      </w:r>
    </w:p>
    <w:bookmarkStart w:id="22" w:name="bull-case"/>
    <w:p>
      <w:pPr>
        <w:pStyle w:val="Heading3"/>
      </w:pPr>
      <w:r>
        <w:t xml:space="preserve">Bull case</w:t>
      </w:r>
    </w:p>
    <w:p>
      <w:pPr>
        <w:pStyle w:val="Compact"/>
        <w:numPr>
          <w:ilvl w:val="0"/>
          <w:numId w:val="1010"/>
        </w:numPr>
      </w:pPr>
      <w:r>
        <w:t xml:space="preserve">Revenue exceeds approximately $760 million</w:t>
      </w:r>
    </w:p>
    <w:p>
      <w:pPr>
        <w:pStyle w:val="Compact"/>
        <w:numPr>
          <w:ilvl w:val="0"/>
          <w:numId w:val="1010"/>
        </w:numPr>
      </w:pPr>
      <w:r>
        <w:t xml:space="preserve">EBITDA beats without unusually aggressive cost restraint</w:t>
      </w:r>
    </w:p>
    <w:p>
      <w:pPr>
        <w:pStyle w:val="Compact"/>
        <w:numPr>
          <w:ilvl w:val="0"/>
          <w:numId w:val="1010"/>
        </w:numPr>
      </w:pPr>
      <w:r>
        <w:t xml:space="preserve">Q3 guidance implies stabilization or reacceleration</w:t>
      </w:r>
    </w:p>
    <w:p>
      <w:pPr>
        <w:pStyle w:val="Compact"/>
        <w:numPr>
          <w:ilvl w:val="0"/>
          <w:numId w:val="1010"/>
        </w:numPr>
      </w:pPr>
      <w:r>
        <w:t xml:space="preserve">Publicis and broader agency relationships are characterized as healthy</w:t>
      </w:r>
    </w:p>
    <w:p>
      <w:pPr>
        <w:pStyle w:val="Compact"/>
        <w:numPr>
          <w:ilvl w:val="0"/>
          <w:numId w:val="1010"/>
        </w:numPr>
      </w:pPr>
      <w:r>
        <w:t xml:space="preserve">JBP signings are converting into spend</w:t>
      </w:r>
    </w:p>
    <w:p>
      <w:pPr>
        <w:pStyle w:val="Compact"/>
        <w:numPr>
          <w:ilvl w:val="0"/>
          <w:numId w:val="1010"/>
        </w:numPr>
      </w:pPr>
      <w:r>
        <w:t xml:space="preserve">Full-year margin guidance is reiterated</w:t>
      </w:r>
    </w:p>
    <w:p>
      <w:pPr>
        <w:pStyle w:val="Compact"/>
        <w:numPr>
          <w:ilvl w:val="0"/>
          <w:numId w:val="1010"/>
        </w:numPr>
      </w:pPr>
      <w:r>
        <w:t xml:space="preserve">Management directly addresses billing and transparency concerns</w:t>
      </w:r>
    </w:p>
    <w:p>
      <w:pPr>
        <w:pStyle w:val="FirstParagraph"/>
      </w:pPr>
      <w:r>
        <w:t xml:space="preserve">Given the stock’s 50% year-to-date decline, a clean result could produce an outsized positive reaction.</w:t>
      </w:r>
    </w:p>
    <w:bookmarkEnd w:id="22"/>
    <w:bookmarkStart w:id="23" w:name="base-case"/>
    <w:p>
      <w:pPr>
        <w:pStyle w:val="Heading3"/>
      </w:pPr>
      <w:r>
        <w:t xml:space="preserve">Base case</w:t>
      </w:r>
    </w:p>
    <w:p>
      <w:pPr>
        <w:pStyle w:val="Compact"/>
        <w:numPr>
          <w:ilvl w:val="0"/>
          <w:numId w:val="1011"/>
        </w:numPr>
      </w:pPr>
      <w:r>
        <w:t xml:space="preserve">Revenue lands around $750–755 million</w:t>
      </w:r>
    </w:p>
    <w:p>
      <w:pPr>
        <w:pStyle w:val="Compact"/>
        <w:numPr>
          <w:ilvl w:val="0"/>
          <w:numId w:val="1011"/>
        </w:numPr>
      </w:pPr>
      <w:r>
        <w:t xml:space="preserve">EBITDA is near $260 million</w:t>
      </w:r>
    </w:p>
    <w:p>
      <w:pPr>
        <w:pStyle w:val="Compact"/>
        <w:numPr>
          <w:ilvl w:val="0"/>
          <w:numId w:val="1011"/>
        </w:numPr>
      </w:pPr>
      <w:r>
        <w:t xml:space="preserve">Q3 guidance remains in the high-single-digit growth range</w:t>
      </w:r>
    </w:p>
    <w:p>
      <w:pPr>
        <w:pStyle w:val="Compact"/>
        <w:numPr>
          <w:ilvl w:val="0"/>
          <w:numId w:val="1011"/>
        </w:numPr>
      </w:pPr>
      <w:r>
        <w:t xml:space="preserve">Full-year margin guidance is maintained</w:t>
      </w:r>
    </w:p>
    <w:p>
      <w:pPr>
        <w:pStyle w:val="Compact"/>
        <w:numPr>
          <w:ilvl w:val="0"/>
          <w:numId w:val="1011"/>
        </w:numPr>
      </w:pPr>
      <w:r>
        <w:t xml:space="preserve">Agency commentary remains vague</w:t>
      </w:r>
    </w:p>
    <w:p>
      <w:pPr>
        <w:pStyle w:val="FirstParagraph"/>
      </w:pPr>
      <w:r>
        <w:t xml:space="preserve">This would likely preserve the long-term thesis but leave unresolved whether TTD can return to sustained double-digit growth.</w:t>
      </w:r>
    </w:p>
    <w:bookmarkEnd w:id="23"/>
    <w:bookmarkStart w:id="24" w:name="bear-case"/>
    <w:p>
      <w:pPr>
        <w:pStyle w:val="Heading3"/>
      </w:pPr>
      <w:r>
        <w:t xml:space="preserve">Bear case</w:t>
      </w:r>
    </w:p>
    <w:p>
      <w:pPr>
        <w:pStyle w:val="Compact"/>
        <w:numPr>
          <w:ilvl w:val="0"/>
          <w:numId w:val="1012"/>
        </w:numPr>
      </w:pPr>
      <w:r>
        <w:t xml:space="preserve">Revenue misses the $750 million guide</w:t>
      </w:r>
    </w:p>
    <w:p>
      <w:pPr>
        <w:pStyle w:val="Compact"/>
        <w:numPr>
          <w:ilvl w:val="0"/>
          <w:numId w:val="1012"/>
        </w:numPr>
      </w:pPr>
      <w:r>
        <w:t xml:space="preserve">Q3 suggests further deceleration</w:t>
      </w:r>
    </w:p>
    <w:p>
      <w:pPr>
        <w:pStyle w:val="Compact"/>
        <w:numPr>
          <w:ilvl w:val="0"/>
          <w:numId w:val="1012"/>
        </w:numPr>
      </w:pPr>
      <w:r>
        <w:t xml:space="preserve">Agency spending weakness emerges</w:t>
      </w:r>
    </w:p>
    <w:p>
      <w:pPr>
        <w:pStyle w:val="Compact"/>
        <w:numPr>
          <w:ilvl w:val="0"/>
          <w:numId w:val="1012"/>
        </w:numPr>
      </w:pPr>
      <w:r>
        <w:t xml:space="preserve">Management avoids specifics on billing or Publicis</w:t>
      </w:r>
    </w:p>
    <w:p>
      <w:pPr>
        <w:pStyle w:val="Compact"/>
        <w:numPr>
          <w:ilvl w:val="0"/>
          <w:numId w:val="1012"/>
        </w:numPr>
      </w:pPr>
      <w:r>
        <w:t xml:space="preserve">Platform costs continue materially outgrowing revenue</w:t>
      </w:r>
    </w:p>
    <w:p>
      <w:pPr>
        <w:pStyle w:val="Compact"/>
        <w:numPr>
          <w:ilvl w:val="0"/>
          <w:numId w:val="1012"/>
        </w:numPr>
      </w:pPr>
      <w:r>
        <w:t xml:space="preserve">The 40% full-year margin target is reduced</w:t>
      </w:r>
    </w:p>
    <w:p>
      <w:pPr>
        <w:pStyle w:val="FirstParagraph"/>
      </w:pPr>
      <w:r>
        <w:t xml:space="preserve">That combination would support the view that the slowdown is partly structural rather than simply macroeconomic.</w:t>
      </w:r>
    </w:p>
    <w:bookmarkEnd w:id="24"/>
    <w:bookmarkEnd w:id="25"/>
    <w:bookmarkStart w:id="26" w:name="bottom-line"/>
    <w:p>
      <w:pPr>
        <w:pStyle w:val="Heading2"/>
      </w:pPr>
      <w:r>
        <w:t xml:space="preserve">Bottom line</w:t>
      </w:r>
    </w:p>
    <w:p>
      <w:pPr>
        <w:pStyle w:val="FirstParagraph"/>
      </w:pPr>
      <w:r>
        <w:t xml:space="preserve">The easy part of this report is clearing a Q2 bar set only slightly above management’s guidance. The hard part is demonstrating that TTD’s competitive position and customer trust remain intact.</w:t>
      </w:r>
    </w:p>
    <w:p>
      <w:pPr>
        <w:pStyle w:val="BodyText"/>
      </w:pPr>
      <w:r>
        <w:t xml:space="preserve">The highest-value signals will be:</w:t>
      </w:r>
    </w:p>
    <w:p>
      <w:pPr>
        <w:pStyle w:val="Compact"/>
        <w:numPr>
          <w:ilvl w:val="0"/>
          <w:numId w:val="1013"/>
        </w:numPr>
      </w:pPr>
      <w:r>
        <w:rPr>
          <w:b/>
          <w:bCs/>
        </w:rPr>
        <w:t xml:space="preserve">Q3 revenue guidance and July trends</w:t>
      </w:r>
    </w:p>
    <w:p>
      <w:pPr>
        <w:pStyle w:val="Compact"/>
        <w:numPr>
          <w:ilvl w:val="0"/>
          <w:numId w:val="1013"/>
        </w:numPr>
      </w:pPr>
      <w:r>
        <w:rPr>
          <w:b/>
          <w:bCs/>
        </w:rPr>
        <w:t xml:space="preserve">Publicis and broader agency-spending commentary</w:t>
      </w:r>
    </w:p>
    <w:p>
      <w:pPr>
        <w:pStyle w:val="Compact"/>
        <w:numPr>
          <w:ilvl w:val="0"/>
          <w:numId w:val="1013"/>
        </w:numPr>
      </w:pPr>
      <w:r>
        <w:rPr>
          <w:b/>
          <w:bCs/>
        </w:rPr>
        <w:t xml:space="preserve">Gross-spend growth relative to reported revenue</w:t>
      </w:r>
    </w:p>
    <w:p>
      <w:pPr>
        <w:pStyle w:val="Compact"/>
        <w:numPr>
          <w:ilvl w:val="0"/>
          <w:numId w:val="1013"/>
        </w:numPr>
      </w:pPr>
      <w:r>
        <w:rPr>
          <w:b/>
          <w:bCs/>
        </w:rPr>
        <w:t xml:space="preserve">Hosting and platform-cost discipline</w:t>
      </w:r>
    </w:p>
    <w:p>
      <w:pPr>
        <w:pStyle w:val="Compact"/>
        <w:numPr>
          <w:ilvl w:val="0"/>
          <w:numId w:val="1013"/>
        </w:numPr>
      </w:pPr>
      <w:r>
        <w:rPr>
          <w:b/>
          <w:bCs/>
        </w:rPr>
        <w:t xml:space="preserve">Conversion of JBPs, CTV and retail-media initiatives into revenue</w:t>
      </w:r>
    </w:p>
    <w:p>
      <w:pPr>
        <w:pStyle w:val="Compact"/>
        <w:numPr>
          <w:ilvl w:val="0"/>
          <w:numId w:val="1013"/>
        </w:numPr>
      </w:pPr>
      <w:r>
        <w:rPr>
          <w:b/>
          <w:bCs/>
        </w:rPr>
        <w:t xml:space="preserve">A clear response to billing and transparency concerns</w:t>
      </w:r>
    </w:p>
    <w:p>
      <w:pPr>
        <w:pStyle w:val="FirstParagraph"/>
      </w:pPr>
      <w:r>
        <w:t xml:space="preserve">At the current share price, the market is already discounting a significant deterioration from TTD’s historical growth profile. That creates upside if management can show the slowdown is cyclical and temporary—but another quarter of vague explanations and single-digit guidance would keep the burden of proof firmly on the company.</w:t>
      </w:r>
    </w:p>
    <w:p>
      <w:pPr>
        <w:pStyle w:val="BodyText"/>
      </w:pPr>
      <w:r>
        <w:rPr>
          <w:i/>
          <w:iCs/>
        </w:rPr>
        <w:t xml:space="preserve">Research basis: TTD’s 2025 Q2 and Q4 earnings releases, 2026 Q1 earnings release and conference-call transcript, Q1 2026 Form 10-Q, June 1 CFO appointment filing, recent market-news digest, and stock-price history through August 5, 2026.</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2026-08-06T01:06:19Z</dcterms:created>
  <dcterms:modified xsi:type="dcterms:W3CDTF">2026-08-06T01:06:19Z</dcterms:modified>
</cp:coreProperties>
</file>

<file path=docProps/custom.xml><?xml version="1.0" encoding="utf-8"?>
<Properties xmlns="http://schemas.openxmlformats.org/officeDocument/2006/custom-properties" xmlns:vt="http://schemas.openxmlformats.org/officeDocument/2006/docPropsVTypes"/>
</file>