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63e0238751794bcfef5d293aa085292720cb9d"/>
    <w:p>
      <w:pPr>
        <w:pStyle w:val="Heading1"/>
      </w:pPr>
      <w:r>
        <w:t xml:space="preserve">The Trade Desk (NASDAQ: TTD) — 2Q26 Earnings Preview</w:t>
      </w:r>
    </w:p>
    <w:p>
      <w:pPr>
        <w:pStyle w:val="BlockText"/>
      </w:pPr>
      <w:r>
        <w:rPr>
          <w:b/>
          <w:bCs/>
        </w:rPr>
        <w:t xml:space="preserve">Calendar note: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Thursday, August 6, 2026</w:t>
      </w:r>
      <w:r>
        <w:t xml:space="preserve">. TTD is scheduled to report</w:t>
      </w:r>
      <w:r>
        <w:t xml:space="preserve"> </w:t>
      </w:r>
      <w:r>
        <w:rPr>
          <w:b/>
          <w:bCs/>
        </w:rPr>
        <w:t xml:space="preserve">2Q26 results after the U.S. market close today</w:t>
      </w:r>
      <w:r>
        <w:t xml:space="preserve">, not tomorrow.</w:t>
      </w:r>
    </w:p>
    <w:bookmarkStart w:id="9" w:name="investment-framing"/>
    <w:p>
      <w:pPr>
        <w:pStyle w:val="Heading2"/>
      </w:pPr>
      <w:r>
        <w:t xml:space="preserve">Investment framing</w:t>
      </w:r>
    </w:p>
    <w:p>
      <w:pPr>
        <w:pStyle w:val="FirstParagraph"/>
      </w:pPr>
      <w:r>
        <w:t xml:space="preserve">TTD enters earnings with a</w:t>
      </w:r>
      <w:r>
        <w:t xml:space="preserve"> </w:t>
      </w:r>
      <w:r>
        <w:rPr>
          <w:b/>
          <w:bCs/>
        </w:rPr>
        <w:t xml:space="preserve">low bar on the headline print but a high bar on confidence in the recovery trajectory</w:t>
      </w:r>
      <w:r>
        <w:t xml:space="preserve">. The company guided to at least</w:t>
      </w:r>
      <w:r>
        <w:t xml:space="preserve"> </w:t>
      </w:r>
      <m:oMath>
        <m:r>
          <m:t>750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260 million of adjusted EBITDA</w:t>
      </w:r>
      <w:r>
        <w:t xml:space="preserve">. Current Street expectations are only modestly above those levels—about</w:t>
      </w:r>
      <w:r>
        <w:t xml:space="preserve"> </w:t>
      </w:r>
      <m:oMath>
        <m:r>
          <m:t>752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262 million</w:t>
      </w:r>
      <w:r>
        <w:t xml:space="preserve">, respectively.</w:t>
      </w:r>
    </w:p>
    <w:p>
      <w:pPr>
        <w:pStyle w:val="BodyText"/>
      </w:pPr>
      <w:r>
        <w:t xml:space="preserve">The more important issue is not whether TTD clears guidance by a few million dollars. Investors will focus on whether management can establish that the sharp deceleration is primarily cyclical—driven by cautious large-brand advertising budgets and macro pressure in categories such as CPG and auto—rather than a sign of agency disruption, intensifying competition, or weaker platform execution.</w:t>
      </w:r>
    </w:p>
    <w:bookmarkEnd w:id="9"/>
    <w:bookmarkStart w:id="10" w:name="the-numbers-that-matter"/>
    <w:p>
      <w:pPr>
        <w:pStyle w:val="Heading2"/>
      </w:pPr>
      <w:r>
        <w:t xml:space="preserve">The numbers that matter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company outlook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</w:pPr>
            <w:r>
              <w:t xml:space="preserve">Implication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At least $750M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~$752M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$694M</w:t>
            </w:r>
          </w:p>
        </w:tc>
        <w:tc>
          <w:tcPr/>
          <w:p>
            <w:pPr>
              <w:pStyle w:val="Compact"/>
            </w:pPr>
            <w:r>
              <w:t xml:space="preserve">Implies ~8% YoY growth, versus 12% in 1Q26 and 19% in 2Q25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~$260M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~$262M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$271M</w:t>
            </w:r>
          </w:p>
        </w:tc>
        <w:tc>
          <w:tcPr/>
          <w:p>
            <w:pPr>
              <w:pStyle w:val="Compact"/>
            </w:pPr>
            <w:r>
              <w:t xml:space="preserve">Implies ~35% margin, down from 39% last year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At least 40%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A key test of management’s “disciplined reinvestment” message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retention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Historically</w:t>
            </w:r>
            <w:r>
              <w:t xml:space="preserve"> </w:t>
            </w:r>
            <w:r>
              <w:rPr>
                <w:b/>
                <w:bCs/>
              </w:rPr>
              <w:t xml:space="preserve">&gt;95%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&gt;95%</w:t>
            </w:r>
          </w:p>
        </w:tc>
        <w:tc>
          <w:tcPr/>
          <w:p>
            <w:pPr>
              <w:pStyle w:val="Compact"/>
            </w:pPr>
            <w:r>
              <w:t xml:space="preserve">Watch for any change in wording or disclosure</w:t>
            </w:r>
          </w:p>
        </w:tc>
      </w:tr>
    </w:tbl>
    <w:p>
      <w:pPr>
        <w:pStyle w:val="BodyText"/>
      </w:pPr>
      <w:r>
        <w:t xml:space="preserve">The setup highlights two uncomfortable comparisons: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 growth is slowing materially.</w:t>
      </w:r>
      <w:r>
        <w:t xml:space="preserve"> </w:t>
      </w:r>
      <w:r>
        <w:t xml:space="preserve">Consensus implies approximately</w:t>
      </w:r>
      <w:r>
        <w:t xml:space="preserve"> </w:t>
      </w:r>
      <w:r>
        <w:rPr>
          <w:b/>
          <w:bCs/>
        </w:rPr>
        <w:t xml:space="preserve">8.4% year-over-year growth</w:t>
      </w:r>
      <w:r>
        <w:t xml:space="preserve">, below the 12% growth reported in 1Q26.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Quarterly margin is under pressure.</w:t>
      </w:r>
      <w:r>
        <w:t xml:space="preserve"> </w:t>
      </w:r>
      <w:r>
        <w:t xml:space="preserve">The guided EBITDA margin is roughly</w:t>
      </w:r>
      <w:r>
        <w:t xml:space="preserve"> </w:t>
      </w:r>
      <w:r>
        <w:rPr>
          <w:b/>
          <w:bCs/>
        </w:rPr>
        <w:t xml:space="preserve">34.7%</w:t>
      </w:r>
      <w:r>
        <w:t xml:space="preserve">, compared with</w:t>
      </w:r>
      <w:r>
        <w:t xml:space="preserve"> </w:t>
      </w:r>
      <w:r>
        <w:rPr>
          <w:b/>
          <w:bCs/>
        </w:rPr>
        <w:t xml:space="preserve">39.0% in 2Q25</w:t>
      </w:r>
      <w:r>
        <w:t xml:space="preserve">, as TTD invests in infrastructure, AI capabilities, data, and product development.</w:t>
      </w:r>
    </w:p>
    <w:bookmarkEnd w:id="10"/>
    <w:bookmarkStart w:id="16" w:name="what-investors-need-to-hear"/>
    <w:p>
      <w:pPr>
        <w:pStyle w:val="Heading2"/>
      </w:pPr>
      <w:r>
        <w:t xml:space="preserve">What investors need to hear</w:t>
      </w:r>
    </w:p>
    <w:bookmarkStart w:id="11" w:name="X092ba0b3946c006756c8b7a4f517d0cbb1fb651"/>
    <w:p>
      <w:pPr>
        <w:pStyle w:val="Heading3"/>
      </w:pPr>
      <w:r>
        <w:t xml:space="preserve">1. Is revenue growth bottoming—or still deteriorating?</w:t>
      </w:r>
    </w:p>
    <w:p>
      <w:pPr>
        <w:pStyle w:val="FirstParagraph"/>
      </w:pPr>
      <w:r>
        <w:t xml:space="preserve">TTD’s 1Q26 revenue grew 12% year over year, but its 2Q guide implied a further slowdown. Management attributed the softer trajectory largely to macro uncertainty affecting large global brands, particularly in</w:t>
      </w:r>
      <w:r>
        <w:t xml:space="preserve"> </w:t>
      </w:r>
      <w:r>
        <w:rPr>
          <w:b/>
          <w:bCs/>
        </w:rPr>
        <w:t xml:space="preserve">CPG/home &amp; garden, food &amp; drink, and auto</w:t>
      </w:r>
      <w:r>
        <w:t xml:space="preserve">. Tariffs, consumer pressure, and geopolitical uncertainty were recurring themes.</w:t>
      </w:r>
    </w:p>
    <w:p>
      <w:pPr>
        <w:pStyle w:val="BodyText"/>
      </w:pPr>
      <w:r>
        <w:t xml:space="preserve">The key question is whether 2Q results and the 3Q outlook show:</w:t>
      </w:r>
    </w:p>
    <w:p>
      <w:pPr>
        <w:pStyle w:val="Compact"/>
        <w:numPr>
          <w:ilvl w:val="0"/>
          <w:numId w:val="1002"/>
        </w:numPr>
      </w:pPr>
      <w:r>
        <w:t xml:space="preserve">stabilization in those pressured verticals;</w:t>
      </w:r>
    </w:p>
    <w:p>
      <w:pPr>
        <w:pStyle w:val="Compact"/>
        <w:numPr>
          <w:ilvl w:val="0"/>
          <w:numId w:val="1002"/>
        </w:numPr>
      </w:pPr>
      <w:r>
        <w:t xml:space="preserve">continued outperformance in CTV, audio, health/medical, events, and international markets;</w:t>
      </w:r>
    </w:p>
    <w:p>
      <w:pPr>
        <w:pStyle w:val="Compact"/>
        <w:numPr>
          <w:ilvl w:val="0"/>
          <w:numId w:val="1002"/>
        </w:numPr>
      </w:pPr>
      <w:r>
        <w:t xml:space="preserve">a credible path back toward double-digit growth; and</w:t>
      </w:r>
    </w:p>
    <w:p>
      <w:pPr>
        <w:pStyle w:val="Compact"/>
        <w:numPr>
          <w:ilvl w:val="0"/>
          <w:numId w:val="1002"/>
        </w:numPr>
      </w:pPr>
      <w:r>
        <w:t xml:space="preserve">evidence that spend is being delayed rather than permanently redirected.</w:t>
      </w:r>
    </w:p>
    <w:p>
      <w:pPr>
        <w:pStyle w:val="FirstParagraph"/>
      </w:pPr>
      <w:r>
        <w:t xml:space="preserve">A beat paired with similarly cautious 3Q guidance would likely not be enough to change the narrative. Conversely, even a modest beat could matter if management signals that client budget behavior improved through June and July.</w:t>
      </w:r>
    </w:p>
    <w:bookmarkEnd w:id="11"/>
    <w:bookmarkStart w:id="12" w:name="Xeae1d71388313b7e813765e0d9e06080d87c3ba"/>
    <w:p>
      <w:pPr>
        <w:pStyle w:val="Heading3"/>
      </w:pPr>
      <w:r>
        <w:t xml:space="preserve">2. Agency relationships—especially Publicis—remain the central idiosyncratic risk</w:t>
      </w:r>
    </w:p>
    <w:p>
      <w:pPr>
        <w:pStyle w:val="FirstParagraph"/>
      </w:pPr>
      <w:r>
        <w:t xml:space="preserve">At the 1Q call, management acknowledged ongoing negotiations with</w:t>
      </w:r>
      <w:r>
        <w:t xml:space="preserve"> </w:t>
      </w:r>
      <w:r>
        <w:rPr>
          <w:b/>
          <w:bCs/>
        </w:rPr>
        <w:t xml:space="preserve">Publicis</w:t>
      </w:r>
      <w:r>
        <w:t xml:space="preserve">, but offered little detail. This matters because TTD is meaningfully exposed to large agency holding companies: its 1Q26 10-Q states that, if client relationships were aggregated at the holding-company level,</w:t>
      </w:r>
      <w:r>
        <w:t xml:space="preserve"> </w:t>
      </w:r>
      <w:r>
        <w:rPr>
          <w:b/>
          <w:bCs/>
        </w:rPr>
        <w:t xml:space="preserve">two holding companies each represented more than 10% of 2025 gross billings</w:t>
      </w:r>
      <w:r>
        <w:t xml:space="preserve">.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3"/>
        </w:numPr>
      </w:pPr>
      <w:r>
        <w:t xml:space="preserve">whether management characterizes agency discussions as constructive, extended, or resolved;</w:t>
      </w:r>
    </w:p>
    <w:p>
      <w:pPr>
        <w:pStyle w:val="Compact"/>
        <w:numPr>
          <w:ilvl w:val="0"/>
          <w:numId w:val="1003"/>
        </w:numPr>
      </w:pPr>
      <w:r>
        <w:t xml:space="preserve">any indication of changes in client spending, commercial terms, or platform adoption;</w:t>
      </w:r>
    </w:p>
    <w:p>
      <w:pPr>
        <w:pStyle w:val="Compact"/>
        <w:numPr>
          <w:ilvl w:val="0"/>
          <w:numId w:val="1003"/>
        </w:numPr>
      </w:pPr>
      <w:r>
        <w:t xml:space="preserve">confirmation that joint business plans are converting to realized spend; and</w:t>
      </w:r>
    </w:p>
    <w:p>
      <w:pPr>
        <w:pStyle w:val="Compact"/>
        <w:numPr>
          <w:ilvl w:val="0"/>
          <w:numId w:val="1003"/>
        </w:numPr>
      </w:pPr>
      <w:r>
        <w:t xml:space="preserve">any update on reported scrutiny surrounding billing, transparency, and agency relationships.</w:t>
      </w:r>
    </w:p>
    <w:p>
      <w:pPr>
        <w:pStyle w:val="FirstParagraph"/>
      </w:pPr>
      <w:r>
        <w:t xml:space="preserve">Management highlighted</w:t>
      </w:r>
      <w:r>
        <w:t xml:space="preserve"> </w:t>
      </w:r>
      <w:r>
        <w:rPr>
          <w:b/>
          <w:bCs/>
        </w:rPr>
        <w:t xml:space="preserve">45 JBP signings in March</w:t>
      </w:r>
      <w:r>
        <w:t xml:space="preserve"> </w:t>
      </w:r>
      <w:r>
        <w:t xml:space="preserve">and said new JBP deal spend, excluding renewals, rose 40% year over year in 1Q. The question now is whether those wins are translating into near-term revenue acceleration.</w:t>
      </w:r>
    </w:p>
    <w:bookmarkEnd w:id="12"/>
    <w:bookmarkStart w:id="13" w:name="Xe499bccbcb3f54425f05fadc9ad986b01fc3a45"/>
    <w:p>
      <w:pPr>
        <w:pStyle w:val="Heading3"/>
      </w:pPr>
      <w:r>
        <w:t xml:space="preserve">3. CTV and premium open-internet supply must keep carrying the growth story</w:t>
      </w:r>
    </w:p>
    <w:p>
      <w:pPr>
        <w:pStyle w:val="FirstParagraph"/>
      </w:pPr>
      <w:r>
        <w:t xml:space="preserve">CTV remained TTD’s largest channel in 1Q, representing a</w:t>
      </w:r>
      <w:r>
        <w:t xml:space="preserve"> </w:t>
      </w:r>
      <w:r>
        <w:rPr>
          <w:b/>
          <w:bCs/>
        </w:rPr>
        <w:t xml:space="preserve">low-50% share of revenue</w:t>
      </w:r>
      <w:r>
        <w:t xml:space="preserve">, with mobile in the high-20% range and audio at roughly 6%. Management has emphasized partnerships and access across premium streaming, sports, audio, and connected-TV inventory.</w:t>
      </w:r>
    </w:p>
    <w:p>
      <w:pPr>
        <w:pStyle w:val="BodyText"/>
      </w:pPr>
      <w:r>
        <w:t xml:space="preserve">Key areas to monitor:</w:t>
      </w:r>
    </w:p>
    <w:p>
      <w:pPr>
        <w:pStyle w:val="Compact"/>
        <w:numPr>
          <w:ilvl w:val="0"/>
          <w:numId w:val="1004"/>
        </w:numPr>
      </w:pPr>
      <w:r>
        <w:t xml:space="preserve">CTV growth versus company-wide growth;</w:t>
      </w:r>
    </w:p>
    <w:p>
      <w:pPr>
        <w:pStyle w:val="Compact"/>
        <w:numPr>
          <w:ilvl w:val="0"/>
          <w:numId w:val="1004"/>
        </w:numPr>
      </w:pPr>
      <w:r>
        <w:t xml:space="preserve">spend trends with large premium publishers and live sports;</w:t>
      </w:r>
    </w:p>
    <w:p>
      <w:pPr>
        <w:pStyle w:val="Compact"/>
        <w:numPr>
          <w:ilvl w:val="0"/>
          <w:numId w:val="1004"/>
        </w:numPr>
      </w:pPr>
      <w:r>
        <w:t xml:space="preserve">international CTV momentum;</w:t>
      </w:r>
    </w:p>
    <w:p>
      <w:pPr>
        <w:pStyle w:val="Compact"/>
        <w:numPr>
          <w:ilvl w:val="0"/>
          <w:numId w:val="1004"/>
        </w:numPr>
      </w:pPr>
      <w:r>
        <w:t xml:space="preserve">audio growth, which management said was its fastest-growing channel in 1Q; and</w:t>
      </w:r>
    </w:p>
    <w:p>
      <w:pPr>
        <w:pStyle w:val="Compact"/>
        <w:numPr>
          <w:ilvl w:val="0"/>
          <w:numId w:val="1004"/>
        </w:numPr>
      </w:pPr>
      <w:r>
        <w:t xml:space="preserve">tangible progress from OpenPath/OpenAds and supply-chain initiatives.</w:t>
      </w:r>
    </w:p>
    <w:p>
      <w:pPr>
        <w:pStyle w:val="FirstParagraph"/>
      </w:pPr>
      <w:r>
        <w:t xml:space="preserve">The strategic case remains attractive: advertisers shifting budgets from linear television into biddable, measurable CTV should favor an independent demand-side platform. The earnings risk is that this secular opportunity is not translating into enough near-term growth to offset cyclical softness elsewhere.</w:t>
      </w:r>
    </w:p>
    <w:bookmarkEnd w:id="13"/>
    <w:bookmarkStart w:id="14" w:name="Xc3b739884e14a93a3962956a834e39ed0519587"/>
    <w:p>
      <w:pPr>
        <w:pStyle w:val="Heading3"/>
      </w:pPr>
      <w:r>
        <w:t xml:space="preserve">4. AI, retail data, and measurement are strategically important—but investors need monetization evidence</w:t>
      </w:r>
    </w:p>
    <w:p>
      <w:pPr>
        <w:pStyle w:val="FirstParagraph"/>
      </w:pPr>
      <w:r>
        <w:t xml:space="preserve">TTD is positioning its next phase around: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Koa Agents</w:t>
      </w:r>
      <w:r>
        <w:t xml:space="preserve"> </w:t>
      </w:r>
      <w:r>
        <w:t xml:space="preserve">and agentic-AI campaign workflows;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Audience Unlimited</w:t>
      </w:r>
      <w:r>
        <w:t xml:space="preserve"> </w:t>
      </w:r>
      <w:r>
        <w:t xml:space="preserve">and broader retail-data activation;</w:t>
      </w:r>
    </w:p>
    <w:p>
      <w:pPr>
        <w:pStyle w:val="Compact"/>
        <w:numPr>
          <w:ilvl w:val="0"/>
          <w:numId w:val="1005"/>
        </w:numPr>
      </w:pPr>
      <w:r>
        <w:t xml:space="preserve">on-site retail-media integrations;</w:t>
      </w:r>
    </w:p>
    <w:p>
      <w:pPr>
        <w:pStyle w:val="Compact"/>
        <w:numPr>
          <w:ilvl w:val="0"/>
          <w:numId w:val="1005"/>
        </w:numPr>
      </w:pPr>
      <w:r>
        <w:t xml:space="preserve">OpenTTD and access to granular data and analytics; and</w:t>
      </w:r>
    </w:p>
    <w:p>
      <w:pPr>
        <w:pStyle w:val="Compact"/>
        <w:numPr>
          <w:ilvl w:val="0"/>
          <w:numId w:val="1005"/>
        </w:numPr>
      </w:pPr>
      <w:r>
        <w:t xml:space="preserve">improved measurement beyond last-touch attribution.</w:t>
      </w:r>
    </w:p>
    <w:p>
      <w:pPr>
        <w:pStyle w:val="FirstParagraph"/>
      </w:pPr>
      <w:r>
        <w:t xml:space="preserve">These initiatives reinforce the long-term platform thesis, especially if they increase campaign performance and raise the mix of higher-value services. But investors should distinguish between promising product announcements and demonstrated monetization.</w:t>
      </w:r>
    </w:p>
    <w:p>
      <w:pPr>
        <w:pStyle w:val="BodyText"/>
      </w:pPr>
      <w:r>
        <w:t xml:space="preserve">Useful proof points would include:</w:t>
      </w:r>
    </w:p>
    <w:p>
      <w:pPr>
        <w:pStyle w:val="Compact"/>
        <w:numPr>
          <w:ilvl w:val="0"/>
          <w:numId w:val="1006"/>
        </w:numPr>
      </w:pPr>
      <w:r>
        <w:t xml:space="preserve">adoption metrics or customer case studies;</w:t>
      </w:r>
    </w:p>
    <w:p>
      <w:pPr>
        <w:pStyle w:val="Compact"/>
        <w:numPr>
          <w:ilvl w:val="0"/>
          <w:numId w:val="1006"/>
        </w:numPr>
      </w:pPr>
      <w:r>
        <w:t xml:space="preserve">revenue contribution from retail-data and value-added services;</w:t>
      </w:r>
    </w:p>
    <w:p>
      <w:pPr>
        <w:pStyle w:val="Compact"/>
        <w:numPr>
          <w:ilvl w:val="0"/>
          <w:numId w:val="1006"/>
        </w:numPr>
      </w:pPr>
      <w:r>
        <w:t xml:space="preserve">evidence of pricing benefit or higher take rate;</w:t>
      </w:r>
    </w:p>
    <w:p>
      <w:pPr>
        <w:pStyle w:val="Compact"/>
        <w:numPr>
          <w:ilvl w:val="0"/>
          <w:numId w:val="1006"/>
        </w:numPr>
      </w:pPr>
      <w:r>
        <w:t xml:space="preserve">campaign-performance improvements that are translating into incremental budget allocation; and</w:t>
      </w:r>
    </w:p>
    <w:p>
      <w:pPr>
        <w:pStyle w:val="Compact"/>
        <w:numPr>
          <w:ilvl w:val="0"/>
          <w:numId w:val="1006"/>
        </w:numPr>
      </w:pPr>
      <w:r>
        <w:t xml:space="preserve">a clearer timetable for Koa Agents moving from campaign creation/editing toward optimization at scale.</w:t>
      </w:r>
    </w:p>
    <w:bookmarkEnd w:id="14"/>
    <w:bookmarkStart w:id="15" w:name="X4773d0613e0335b611899190b408003e6f5c2ff"/>
    <w:p>
      <w:pPr>
        <w:pStyle w:val="Heading3"/>
      </w:pPr>
      <w:r>
        <w:t xml:space="preserve">5. Margins and infrastructure costs are a key swing factor</w:t>
      </w:r>
    </w:p>
    <w:p>
      <w:pPr>
        <w:pStyle w:val="FirstParagraph"/>
      </w:pPr>
      <w:r>
        <w:t xml:space="preserve">In 1Q26, platform-operations expense rose</w:t>
      </w:r>
      <w:r>
        <w:t xml:space="preserve"> </w:t>
      </w:r>
      <w:r>
        <w:rPr>
          <w:b/>
          <w:bCs/>
        </w:rPr>
        <w:t xml:space="preserve">27% year over year</w:t>
      </w:r>
      <w:r>
        <w:t xml:space="preserve">, faster than revenue, driven primarily by higher hosting costs, data-related costs, and personnel expense. TTD is investing in data centers and supporting higher query volumes and AI-driven functionality.</w:t>
      </w:r>
    </w:p>
    <w:p>
      <w:pPr>
        <w:pStyle w:val="BodyText"/>
      </w:pPr>
      <w:r>
        <w:t xml:space="preserve">That investment can be rational if it supports durable product differentiation and future growth. Still, the near-term trade-off is evident: adjusted EBITDA declined slightly year over year in 1Q despite revenue growth.</w:t>
      </w:r>
    </w:p>
    <w:p>
      <w:pPr>
        <w:pStyle w:val="BodyText"/>
      </w:pPr>
      <w:r>
        <w:t xml:space="preserve">The call should clarify:</w:t>
      </w:r>
    </w:p>
    <w:p>
      <w:pPr>
        <w:pStyle w:val="Compact"/>
        <w:numPr>
          <w:ilvl w:val="0"/>
          <w:numId w:val="1007"/>
        </w:numPr>
      </w:pPr>
      <w:r>
        <w:t xml:space="preserve">whether the heaviest infrastructure investment is now behind the company;</w:t>
      </w:r>
    </w:p>
    <w:p>
      <w:pPr>
        <w:pStyle w:val="Compact"/>
        <w:numPr>
          <w:ilvl w:val="0"/>
          <w:numId w:val="1007"/>
        </w:numPr>
      </w:pPr>
      <w:r>
        <w:t xml:space="preserve">whether hosting and data-cost growth will moderate;</w:t>
      </w:r>
    </w:p>
    <w:p>
      <w:pPr>
        <w:pStyle w:val="Compact"/>
        <w:numPr>
          <w:ilvl w:val="0"/>
          <w:numId w:val="1007"/>
        </w:numPr>
      </w:pPr>
      <w:r>
        <w:t xml:space="preserve">how management plans to protect the</w:t>
      </w:r>
      <w:r>
        <w:t xml:space="preserve"> </w:t>
      </w:r>
      <w:r>
        <w:rPr>
          <w:b/>
          <w:bCs/>
        </w:rPr>
        <w:t xml:space="preserve">≥40% full-year EBITDA-margin</w:t>
      </w:r>
      <w:r>
        <w:t xml:space="preserve"> </w:t>
      </w:r>
      <w:r>
        <w:t xml:space="preserve">target; and</w:t>
      </w:r>
    </w:p>
    <w:p>
      <w:pPr>
        <w:pStyle w:val="Compact"/>
        <w:numPr>
          <w:ilvl w:val="0"/>
          <w:numId w:val="1007"/>
        </w:numPr>
      </w:pPr>
      <w:r>
        <w:t xml:space="preserve">whether 2H26 revenue growth is expected to outpace expense growth enough to restore operating leverage.</w:t>
      </w:r>
    </w:p>
    <w:bookmarkEnd w:id="15"/>
    <w:bookmarkEnd w:id="16"/>
    <w:bookmarkStart w:id="17" w:name="bull-case-into-the-print"/>
    <w:p>
      <w:pPr>
        <w:pStyle w:val="Heading2"/>
      </w:pPr>
      <w:r>
        <w:t xml:space="preserve">Bull case into the print</w:t>
      </w:r>
    </w:p>
    <w:p>
      <w:pPr>
        <w:pStyle w:val="FirstParagraph"/>
      </w:pPr>
      <w:r>
        <w:t xml:space="preserve">A constructive result would likely feature:</w:t>
      </w:r>
    </w:p>
    <w:p>
      <w:pPr>
        <w:pStyle w:val="Compact"/>
        <w:numPr>
          <w:ilvl w:val="0"/>
          <w:numId w:val="1008"/>
        </w:numPr>
      </w:pPr>
      <w:r>
        <w:t xml:space="preserve">revenue and EBITDA comfortably above guide, rather than a narrow beat;</w:t>
      </w:r>
    </w:p>
    <w:p>
      <w:pPr>
        <w:pStyle w:val="Compact"/>
        <w:numPr>
          <w:ilvl w:val="0"/>
          <w:numId w:val="1008"/>
        </w:numPr>
      </w:pPr>
      <w:r>
        <w:t xml:space="preserve">3Q revenue guidance that implies renewed double-digit growth or clear sequential improvement;</w:t>
      </w:r>
    </w:p>
    <w:p>
      <w:pPr>
        <w:pStyle w:val="Compact"/>
        <w:numPr>
          <w:ilvl w:val="0"/>
          <w:numId w:val="1008"/>
        </w:numPr>
      </w:pPr>
      <w:r>
        <w:t xml:space="preserve">affirmation that agency negotiations have not produced a material spend disruption;</w:t>
      </w:r>
    </w:p>
    <w:p>
      <w:pPr>
        <w:pStyle w:val="Compact"/>
        <w:numPr>
          <w:ilvl w:val="0"/>
          <w:numId w:val="1008"/>
        </w:numPr>
      </w:pPr>
      <w:r>
        <w:t xml:space="preserve">continued strength in CTV, international, audio, retail data, and premium inventory;</w:t>
      </w:r>
    </w:p>
    <w:p>
      <w:pPr>
        <w:pStyle w:val="Compact"/>
        <w:numPr>
          <w:ilvl w:val="0"/>
          <w:numId w:val="1008"/>
        </w:numPr>
      </w:pPr>
      <w:r>
        <w:t xml:space="preserve">a maintained or improved full-year margin target; and</w:t>
      </w:r>
    </w:p>
    <w:p>
      <w:pPr>
        <w:pStyle w:val="Compact"/>
        <w:numPr>
          <w:ilvl w:val="0"/>
          <w:numId w:val="1008"/>
        </w:numPr>
      </w:pPr>
      <w:r>
        <w:t xml:space="preserve">credible evidence that AI and measurement products are increasing client spend and platform value.</w:t>
      </w:r>
    </w:p>
    <w:bookmarkEnd w:id="17"/>
    <w:bookmarkStart w:id="18" w:name="bear-case-into-the-print"/>
    <w:p>
      <w:pPr>
        <w:pStyle w:val="Heading2"/>
      </w:pPr>
      <w:r>
        <w:t xml:space="preserve">Bear case into the print</w:t>
      </w:r>
    </w:p>
    <w:p>
      <w:pPr>
        <w:pStyle w:val="FirstParagraph"/>
      </w:pPr>
      <w:r>
        <w:t xml:space="preserve">The downside scenario is a combination of:</w:t>
      </w:r>
    </w:p>
    <w:p>
      <w:pPr>
        <w:pStyle w:val="Compact"/>
        <w:numPr>
          <w:ilvl w:val="0"/>
          <w:numId w:val="1009"/>
        </w:numPr>
      </w:pPr>
      <w:r>
        <w:t xml:space="preserve">revenue near or below the $750 million floor;</w:t>
      </w:r>
    </w:p>
    <w:p>
      <w:pPr>
        <w:pStyle w:val="Compact"/>
        <w:numPr>
          <w:ilvl w:val="0"/>
          <w:numId w:val="1009"/>
        </w:numPr>
      </w:pPr>
      <w:r>
        <w:t xml:space="preserve">3Q guidance that confirms continued deceleration;</w:t>
      </w:r>
    </w:p>
    <w:p>
      <w:pPr>
        <w:pStyle w:val="Compact"/>
        <w:numPr>
          <w:ilvl w:val="0"/>
          <w:numId w:val="1009"/>
        </w:numPr>
      </w:pPr>
      <w:r>
        <w:t xml:space="preserve">incremental caution around Publicis or other agency/holding-company relationships;</w:t>
      </w:r>
    </w:p>
    <w:p>
      <w:pPr>
        <w:pStyle w:val="Compact"/>
        <w:numPr>
          <w:ilvl w:val="0"/>
          <w:numId w:val="1009"/>
        </w:numPr>
      </w:pPr>
      <w:r>
        <w:t xml:space="preserve">weaker CTV or international growth;</w:t>
      </w:r>
    </w:p>
    <w:p>
      <w:pPr>
        <w:pStyle w:val="Compact"/>
        <w:numPr>
          <w:ilvl w:val="0"/>
          <w:numId w:val="1009"/>
        </w:numPr>
      </w:pPr>
      <w:r>
        <w:t xml:space="preserve">further margin pressure from hosting, data, and AI investment; or</w:t>
      </w:r>
    </w:p>
    <w:p>
      <w:pPr>
        <w:pStyle w:val="Compact"/>
        <w:numPr>
          <w:ilvl w:val="0"/>
          <w:numId w:val="1009"/>
        </w:numPr>
      </w:pPr>
      <w:r>
        <w:t xml:space="preserve">vague strategic commentary without proof that product innovation is converting to spend.</w:t>
      </w:r>
    </w:p>
    <w:bookmarkEnd w:id="18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TTD’s 2Q26 report is primarily a credibility and trajectory event.</w:t>
      </w:r>
      <w:r>
        <w:t xml:space="preserve"> </w:t>
      </w:r>
      <w:r>
        <w:t xml:space="preserve">The quarterly revenue beat/miss matters, but the stock’s reaction will likely be driven by management’s ability to answer three questions: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Has growth stabilized after the 1H deceleration?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Are agency relationships and competitive dynamics intact?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Can TTD sustain investment in AI, CTV, data, and supply-chain infrastructure while preserving its 40%+ profitability model?</w:t>
      </w:r>
    </w:p>
    <w:p>
      <w:pPr>
        <w:pStyle w:val="FirstParagraph"/>
      </w:pPr>
      <w:r>
        <w:t xml:space="preserve">The company’s long-term differentiation—an independent buying platform with deep CTV, retail-data, and premium-open-internet exposure—remains intact. But after a weaker growth setup and heightened negative sentiment, investors are likely to demand clearer evidence that the long-term story is reappearing in the near-term financials.</w:t>
      </w:r>
    </w:p>
    <w:p>
      <w:pPr>
        <w:pStyle w:val="BodyText"/>
      </w:pPr>
      <w:r>
        <w:rPr>
          <w:i/>
          <w:iCs/>
        </w:rPr>
        <w:t xml:space="preserve">Sources reviewed: TTD 1Q26 earnings release and earnings-call transcript; TTD 1Q26 Form 10-Q; TTD 2Q25 earnings release; and the August 2026 market-news earnings preview.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2026-08-06T01:04:51Z</dcterms:created>
  <dcterms:modified xsi:type="dcterms:W3CDTF">2026-08-06T01:04:51Z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