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Trade Desk (TTD)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Trade Desk, Inc.</w:t>
            </w:r>
          </w:p>
        </w:tc>
      </w:tr>
      <w:tr>
        <w:tc>
          <w:tcPr>
            <w:tcW w:type="dxa" w:w="4320"/>
          </w:tcPr>
          <w:p>
            <w:r>
              <w:rPr>
                <w:rFonts w:ascii="Calibri" w:hAnsi="Calibri"/>
                <w:b/>
                <w:sz w:val="22"/>
              </w:rPr>
              <w:t>Ticker</w:t>
            </w:r>
          </w:p>
        </w:tc>
        <w:tc>
          <w:tcPr>
            <w:tcW w:type="dxa" w:w="4320"/>
          </w:tcPr>
          <w:p>
            <w:r>
              <w:rPr>
                <w:rFonts w:ascii="Calibri" w:hAnsi="Calibri"/>
                <w:sz w:val="22"/>
              </w:rPr>
              <w:t>NASDAQ: TTD</w:t>
            </w:r>
          </w:p>
        </w:tc>
      </w:tr>
      <w:tr>
        <w:tc>
          <w:tcPr>
            <w:tcW w:type="dxa" w:w="4320"/>
          </w:tcPr>
          <w:p>
            <w:r>
              <w:rPr>
                <w:rFonts w:ascii="Calibri" w:hAnsi="Calibri"/>
                <w:b/>
                <w:sz w:val="22"/>
              </w:rPr>
              <w:t>Upcoming Earnings Date</w:t>
            </w:r>
          </w:p>
        </w:tc>
        <w:tc>
          <w:tcPr>
            <w:tcW w:type="dxa" w:w="4320"/>
          </w:tcPr>
          <w:p>
            <w:r>
              <w:rPr>
                <w:rFonts w:ascii="Calibri" w:hAnsi="Calibri"/>
                <w:sz w:val="22"/>
              </w:rPr>
              <w:t>August 6,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Q1 2026 — May 7,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unclear-to-slightly-negative — consensus sits just above management’s $750M floor guidance, leaving little room for error, and the single biggest swing factor is whether the Publicis dispute resolution (June 12) has translated into measurable spend recovery in Q2.</w:t>
      </w:r>
    </w:p>
    <w:p>
      <w:r>
        <w:rPr>
          <w:rFonts w:ascii="Calibri" w:hAnsi="Calibri"/>
          <w:b/>
          <w:color w:val="525866"/>
          <w:sz w:val="22"/>
        </w:rPr>
        <w:t xml:space="preserve">Bar: </w:t>
      </w:r>
      <w:r>
        <w:rPr>
          <w:rFonts w:ascii="Calibri" w:hAnsi="Calibri"/>
          <w:color w:val="525866"/>
          <w:sz w:val="22"/>
        </w:rPr>
        <w:t>Consensus revenue of ~$752M sits only ~$2M above the $750M guidance floor, making the bar technically achievable but offering virtually no cushion for upside surprise. The more important question is whether adjusted EBITDA — guided at ~$260M vs. consensus of ~$262M — can beat, given management’s stated commitment to disciplined reinvestment in 2026.</w:t>
      </w:r>
    </w:p>
    <w:p>
      <w:r>
        <w:rPr>
          <w:rFonts w:ascii="Calibri" w:hAnsi="Calibri"/>
          <w:b/>
          <w:color w:val="525866"/>
          <w:sz w:val="22"/>
        </w:rPr>
        <w:t xml:space="preserve">Guidance/Tone: </w:t>
      </w:r>
      <w:r>
        <w:rPr>
          <w:rFonts w:ascii="Calibri" w:hAnsi="Calibri"/>
          <w:color w:val="525866"/>
          <w:sz w:val="22"/>
        </w:rPr>
        <w:t>Management’s posture on the Q1 call was cautiously constructive on the long term but explicitly acknowledged a “more complex” macro environment in 2026, citing geopolitical tensions, tariffs, and CPG vertical pressure. No post-earnings guidance revision has been issued, and the Publicis dispute resolution on June 12 was the only material positive development since the print. Full-year adjusted EBITDA margin guidance of at least 40% was maintained.</w:t>
      </w:r>
    </w:p>
    <w:p>
      <w:r>
        <w:rPr>
          <w:rFonts w:ascii="Calibri" w:hAnsi="Calibri"/>
          <w:b/>
          <w:color w:val="525866"/>
          <w:sz w:val="22"/>
        </w:rPr>
        <w:t xml:space="preserve">Estimate Trajectory: </w:t>
      </w:r>
      <w:r>
        <w:rPr>
          <w:rFonts w:ascii="Calibri" w:hAnsi="Calibri"/>
          <w:color w:val="525866"/>
          <w:sz w:val="22"/>
        </w:rPr>
        <w:t>Estimates have been remarkably stable since the Q1 print — Q2 revenue consensus moved from $751.8M on May 8 to $752.1M today, essentially flat. Full-year 2026 revenue consensus drifted slightly lower from $3.187B to $3.181B over the same period. The stability suggests the street has fully digested the guidance and is not pricing in incremental deterioration, but also not pricing in recovery.</w:t>
      </w:r>
    </w:p>
    <w:p>
      <w:r>
        <w:rPr>
          <w:rFonts w:ascii="Calibri" w:hAnsi="Calibri"/>
          <w:b/>
          <w:color w:val="525866"/>
          <w:sz w:val="22"/>
        </w:rPr>
        <w:t xml:space="preserve">Stock Setup: </w:t>
      </w:r>
      <w:r>
        <w:rPr>
          <w:rFonts w:ascii="Calibri" w:hAnsi="Calibri"/>
          <w:color w:val="525866"/>
          <w:sz w:val="22"/>
        </w:rPr>
        <w:t>TTD has declined ~19% since the Q1 earnings date (May 7 close: $23.49; current: ~$19.34 as of Aug 4), significantly underperforming the S&amp;P 500 (SPY +5.4% over the same period) and QQQ (+4.2%). The stock hit a low of ~$16.79 in late July before recovering. At current levels, TTD trades at roughly 20-22x forward EPS — near the low end of its historical range — suggesting the market has already priced in meaningful deceleration, which could create an asymmetric setup if Q2 results or Q3 guidance surprise to the upside.</w:t>
      </w:r>
    </w:p>
    <w:p>
      <w:r>
        <w:rPr>
          <w:rFonts w:ascii="Calibri" w:hAnsi="Calibri"/>
          <w:b/>
          <w:color w:val="525866"/>
          <w:sz w:val="22"/>
        </w:rPr>
        <w:t xml:space="preserve">Wildcard: </w:t>
      </w:r>
      <w:r>
        <w:rPr>
          <w:rFonts w:ascii="Calibri" w:hAnsi="Calibri"/>
          <w:color w:val="525866"/>
          <w:sz w:val="22"/>
        </w:rPr>
        <w:t>The Publicis dispute resolution (June 12) is the single biggest wildcard. Publicis resumed recommending TTD to clients after months of a spending pause, and any quantification of the spend recovery — or management commentary on the pace of re-engagement — could be the most market-moving element of the print. A second wildcard is the trajectory of CPG vertical spend, which management flagged as under pressure from tariffs and consumer softness; any sign of stabilization or recovery would be a meaningful positive read-through.</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sits just $2M above the $750M revenue guidance floor — a low bar on revenue but a tighter call on EBITDA margin. The bigger swing factor is adjusted EBITDA, where any operating leverage surprise (or lack thereof) will drive the stock reaction more than a modest revenue beat.</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Revenue ($M)</w:t>
            </w:r>
          </w:p>
        </w:tc>
        <w:tc>
          <w:tcPr>
            <w:tcW w:type="dxa" w:w="1234"/>
          </w:tcPr>
          <w:p>
            <w:r>
              <w:rPr>
                <w:rFonts w:ascii="Calibri" w:hAnsi="Calibri"/>
                <w:sz w:val="22"/>
              </w:rPr>
              <w:t>$688.9M</w:t>
            </w:r>
          </w:p>
        </w:tc>
        <w:tc>
          <w:tcPr>
            <w:tcW w:type="dxa" w:w="1234"/>
          </w:tcPr>
          <w:p>
            <w:r>
              <w:rPr>
                <w:rFonts w:ascii="Calibri" w:hAnsi="Calibri"/>
                <w:sz w:val="22"/>
              </w:rPr>
              <w:t>$694.0M</w:t>
            </w:r>
          </w:p>
        </w:tc>
        <w:tc>
          <w:tcPr>
            <w:tcW w:type="dxa" w:w="1234"/>
          </w:tcPr>
          <w:p>
            <w:r>
              <w:rPr>
                <w:rFonts w:ascii="Calibri" w:hAnsi="Calibri"/>
                <w:sz w:val="22"/>
              </w:rPr>
              <w:t>$752.1M</w:t>
            </w:r>
          </w:p>
        </w:tc>
        <w:tc>
          <w:tcPr>
            <w:tcW w:type="dxa" w:w="1234"/>
          </w:tcPr>
          <w:p>
            <w:r>
              <w:rPr>
                <w:rFonts w:ascii="Calibri" w:hAnsi="Calibri"/>
                <w:sz w:val="22"/>
              </w:rPr>
              <w:t>+8.4% YoY</w:t>
            </w:r>
          </w:p>
        </w:tc>
        <w:tc>
          <w:tcPr>
            <w:tcW w:type="dxa" w:w="1234"/>
          </w:tcPr>
          <w:p>
            <w:r>
              <w:rPr>
                <w:rFonts w:ascii="Calibri" w:hAnsi="Calibri"/>
                <w:sz w:val="22"/>
              </w:rPr>
              <w:t>≥$750M</w:t>
            </w:r>
          </w:p>
        </w:tc>
        <w:tc>
          <w:tcPr>
            <w:tcW w:type="dxa" w:w="1234"/>
          </w:tcPr>
          <w:p>
            <w:r>
              <w:rPr>
                <w:rFonts w:ascii="Calibri" w:hAnsi="Calibri"/>
                <w:sz w:val="22"/>
              </w:rPr>
              <w:t>+0.3% above floor</w:t>
            </w:r>
          </w:p>
        </w:tc>
      </w:tr>
      <w:tr>
        <w:tc>
          <w:tcPr>
            <w:tcW w:type="dxa" w:w="1234"/>
          </w:tcPr>
          <w:p>
            <w:r>
              <w:rPr>
                <w:rFonts w:ascii="Calibri" w:hAnsi="Calibri"/>
                <w:sz w:val="22"/>
              </w:rPr>
              <w:t>Adj. EBITDA ($M)</w:t>
            </w:r>
          </w:p>
        </w:tc>
        <w:tc>
          <w:tcPr>
            <w:tcW w:type="dxa" w:w="1234"/>
          </w:tcPr>
          <w:p>
            <w:r>
              <w:rPr>
                <w:rFonts w:ascii="Calibri" w:hAnsi="Calibri"/>
                <w:sz w:val="22"/>
              </w:rPr>
              <w:t>$206.1M</w:t>
            </w:r>
          </w:p>
        </w:tc>
        <w:tc>
          <w:tcPr>
            <w:tcW w:type="dxa" w:w="1234"/>
          </w:tcPr>
          <w:p>
            <w:r>
              <w:rPr>
                <w:rFonts w:ascii="Calibri" w:hAnsi="Calibri"/>
                <w:sz w:val="22"/>
              </w:rPr>
              <w:t>$270.8M</w:t>
            </w:r>
          </w:p>
        </w:tc>
        <w:tc>
          <w:tcPr>
            <w:tcW w:type="dxa" w:w="1234"/>
          </w:tcPr>
          <w:p>
            <w:r>
              <w:rPr>
                <w:rFonts w:ascii="Calibri" w:hAnsi="Calibri"/>
                <w:sz w:val="22"/>
              </w:rPr>
              <w:t>$262.5M</w:t>
            </w:r>
          </w:p>
        </w:tc>
        <w:tc>
          <w:tcPr>
            <w:tcW w:type="dxa" w:w="1234"/>
          </w:tcPr>
          <w:p>
            <w:r>
              <w:rPr>
                <w:rFonts w:ascii="Calibri" w:hAnsi="Calibri"/>
                <w:sz w:val="22"/>
              </w:rPr>
              <w:t>-3.1% YoY</w:t>
            </w:r>
          </w:p>
        </w:tc>
        <w:tc>
          <w:tcPr>
            <w:tcW w:type="dxa" w:w="1234"/>
          </w:tcPr>
          <w:p>
            <w:r>
              <w:rPr>
                <w:rFonts w:ascii="Calibri" w:hAnsi="Calibri"/>
                <w:sz w:val="22"/>
              </w:rPr>
              <w:t>~$260M</w:t>
            </w:r>
          </w:p>
        </w:tc>
        <w:tc>
          <w:tcPr>
            <w:tcW w:type="dxa" w:w="1234"/>
          </w:tcPr>
          <w:p>
            <w:r>
              <w:rPr>
                <w:rFonts w:ascii="Calibri" w:hAnsi="Calibri"/>
                <w:sz w:val="22"/>
              </w:rPr>
              <w:t>+1.0% above midpoint</w:t>
            </w:r>
          </w:p>
        </w:tc>
      </w:tr>
      <w:tr>
        <w:tc>
          <w:tcPr>
            <w:tcW w:type="dxa" w:w="1234"/>
          </w:tcPr>
          <w:p>
            <w:r>
              <w:rPr>
                <w:rFonts w:ascii="Calibri" w:hAnsi="Calibri"/>
                <w:sz w:val="22"/>
              </w:rPr>
              <w:t>Adj. EPS — Diluted ($)</w:t>
            </w:r>
          </w:p>
        </w:tc>
        <w:tc>
          <w:tcPr>
            <w:tcW w:type="dxa" w:w="1234"/>
          </w:tcPr>
          <w:p>
            <w:r>
              <w:rPr>
                <w:rFonts w:ascii="Calibri" w:hAnsi="Calibri"/>
                <w:sz w:val="22"/>
              </w:rPr>
              <w:t>$0.28</w:t>
            </w:r>
          </w:p>
        </w:tc>
        <w:tc>
          <w:tcPr>
            <w:tcW w:type="dxa" w:w="1234"/>
          </w:tcPr>
          <w:p>
            <w:r>
              <w:rPr>
                <w:rFonts w:ascii="Calibri" w:hAnsi="Calibri"/>
                <w:sz w:val="22"/>
              </w:rPr>
              <w:t>$0.41</w:t>
            </w:r>
          </w:p>
        </w:tc>
        <w:tc>
          <w:tcPr>
            <w:tcW w:type="dxa" w:w="1234"/>
          </w:tcPr>
          <w:p>
            <w:r>
              <w:rPr>
                <w:rFonts w:ascii="Calibri" w:hAnsi="Calibri"/>
                <w:sz w:val="22"/>
              </w:rPr>
              <w:t>$0.40</w:t>
            </w:r>
          </w:p>
        </w:tc>
        <w:tc>
          <w:tcPr>
            <w:tcW w:type="dxa" w:w="1234"/>
          </w:tcPr>
          <w:p>
            <w:r>
              <w:rPr>
                <w:rFonts w:ascii="Calibri" w:hAnsi="Calibri"/>
                <w:sz w:val="22"/>
              </w:rPr>
              <w:t>-2.4%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Gross Billings ($B)</w:t>
            </w:r>
          </w:p>
        </w:tc>
        <w:tc>
          <w:tcPr>
            <w:tcW w:type="dxa" w:w="1234"/>
          </w:tcPr>
          <w:p>
            <w:r>
              <w:rPr>
                <w:rFonts w:ascii="Calibri" w:hAnsi="Calibri"/>
                <w:sz w:val="22"/>
              </w:rPr>
              <w:t>$3.300B</w:t>
            </w:r>
          </w:p>
        </w:tc>
        <w:tc>
          <w:tcPr>
            <w:tcW w:type="dxa" w:w="1234"/>
          </w:tcPr>
          <w:p>
            <w:r>
              <w:rPr>
                <w:rFonts w:ascii="Calibri" w:hAnsi="Calibri"/>
                <w:sz w:val="22"/>
              </w:rPr>
              <w:t>$3.256B</w:t>
            </w:r>
          </w:p>
        </w:tc>
        <w:tc>
          <w:tcPr>
            <w:tcW w:type="dxa" w:w="1234"/>
          </w:tcPr>
          <w:p>
            <w:r>
              <w:rPr>
                <w:rFonts w:ascii="Calibri" w:hAnsi="Calibri"/>
                <w:sz w:val="22"/>
              </w:rPr>
              <w:t>$3.606B</w:t>
            </w:r>
          </w:p>
        </w:tc>
        <w:tc>
          <w:tcPr>
            <w:tcW w:type="dxa" w:w="1234"/>
          </w:tcPr>
          <w:p>
            <w:r>
              <w:rPr>
                <w:rFonts w:ascii="Calibri" w:hAnsi="Calibri"/>
                <w:sz w:val="22"/>
              </w:rPr>
              <w:t>+10.7%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Take Rate (%)</w:t>
            </w:r>
          </w:p>
        </w:tc>
        <w:tc>
          <w:tcPr>
            <w:tcW w:type="dxa" w:w="1234"/>
          </w:tcPr>
          <w:p>
            <w:r>
              <w:rPr>
                <w:rFonts w:ascii="Calibri" w:hAnsi="Calibri"/>
                <w:sz w:val="22"/>
              </w:rPr>
              <w:t>21.1%</w:t>
            </w:r>
          </w:p>
        </w:tc>
        <w:tc>
          <w:tcPr>
            <w:tcW w:type="dxa" w:w="1234"/>
          </w:tcPr>
          <w:p>
            <w:r>
              <w:rPr>
                <w:rFonts w:ascii="Calibri" w:hAnsi="Calibri"/>
                <w:sz w:val="22"/>
              </w:rPr>
              <w:t>21.5%</w:t>
            </w:r>
          </w:p>
        </w:tc>
        <w:tc>
          <w:tcPr>
            <w:tcW w:type="dxa" w:w="1234"/>
          </w:tcPr>
          <w:p>
            <w:r>
              <w:rPr>
                <w:rFonts w:ascii="Calibri" w:hAnsi="Calibri"/>
                <w:sz w:val="22"/>
              </w:rPr>
              <w:t>21.3%</w:t>
            </w:r>
          </w:p>
        </w:tc>
        <w:tc>
          <w:tcPr>
            <w:tcW w:type="dxa" w:w="1234"/>
          </w:tcPr>
          <w:p>
            <w:r>
              <w:rPr>
                <w:rFonts w:ascii="Calibri" w:hAnsi="Calibri"/>
                <w:sz w:val="22"/>
              </w:rPr>
              <w:t>-0.2 pp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Revenue — U.S. ($M)</w:t>
            </w:r>
          </w:p>
        </w:tc>
        <w:tc>
          <w:tcPr>
            <w:tcW w:type="dxa" w:w="1234"/>
          </w:tcPr>
          <w:p>
            <w:r>
              <w:rPr>
                <w:rFonts w:ascii="Calibri" w:hAnsi="Calibri"/>
                <w:sz w:val="22"/>
              </w:rPr>
              <w:t>$570.5M</w:t>
            </w:r>
          </w:p>
        </w:tc>
        <w:tc>
          <w:tcPr>
            <w:tcW w:type="dxa" w:w="1234"/>
          </w:tcPr>
          <w:p>
            <w:r>
              <w:rPr>
                <w:rFonts w:ascii="Calibri" w:hAnsi="Calibri"/>
                <w:sz w:val="22"/>
              </w:rPr>
              <w:t>$590.2M</w:t>
            </w:r>
          </w:p>
        </w:tc>
        <w:tc>
          <w:tcPr>
            <w:tcW w:type="dxa" w:w="1234"/>
          </w:tcPr>
          <w:p>
            <w:r>
              <w:rPr>
                <w:rFonts w:ascii="Calibri" w:hAnsi="Calibri"/>
                <w:sz w:val="22"/>
              </w:rPr>
              <w:t>$642.0M</w:t>
            </w:r>
          </w:p>
        </w:tc>
        <w:tc>
          <w:tcPr>
            <w:tcW w:type="dxa" w:w="1234"/>
          </w:tcPr>
          <w:p>
            <w:r>
              <w:rPr>
                <w:rFonts w:ascii="Calibri" w:hAnsi="Calibri"/>
                <w:sz w:val="22"/>
              </w:rPr>
              <w:t>+8.8%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Revenue — International ($M)</w:t>
            </w:r>
          </w:p>
        </w:tc>
        <w:tc>
          <w:tcPr>
            <w:tcW w:type="dxa" w:w="1234"/>
          </w:tcPr>
          <w:p>
            <w:r>
              <w:rPr>
                <w:rFonts w:ascii="Calibri" w:hAnsi="Calibri"/>
                <w:sz w:val="22"/>
              </w:rPr>
              <w:t>$116.0M</w:t>
            </w:r>
          </w:p>
        </w:tc>
        <w:tc>
          <w:tcPr>
            <w:tcW w:type="dxa" w:w="1234"/>
          </w:tcPr>
          <w:p>
            <w:r>
              <w:rPr>
                <w:rFonts w:ascii="Calibri" w:hAnsi="Calibri"/>
                <w:sz w:val="22"/>
              </w:rPr>
              <w:t>$100.6M</w:t>
            </w:r>
          </w:p>
        </w:tc>
        <w:tc>
          <w:tcPr>
            <w:tcW w:type="dxa" w:w="1234"/>
          </w:tcPr>
          <w:p>
            <w:r>
              <w:rPr>
                <w:rFonts w:ascii="Calibri" w:hAnsi="Calibri"/>
                <w:sz w:val="22"/>
              </w:rPr>
              <w:t>$112.0M</w:t>
            </w:r>
          </w:p>
        </w:tc>
        <w:tc>
          <w:tcPr>
            <w:tcW w:type="dxa" w:w="1234"/>
          </w:tcPr>
          <w:p>
            <w:r>
              <w:rPr>
                <w:rFonts w:ascii="Calibri" w:hAnsi="Calibri"/>
                <w:sz w:val="22"/>
              </w:rPr>
              <w:t>+11.3% YoY</w:t>
            </w:r>
          </w:p>
        </w:tc>
        <w:tc>
          <w:tcPr>
            <w:tcW w:type="dxa" w:w="1234"/>
          </w:tcPr>
          <w:p>
            <w:r>
              <w:rPr>
                <w:rFonts w:ascii="Calibri" w:hAnsi="Calibri"/>
                <w:sz w:val="22"/>
              </w:rPr>
              <w:t>N/A (not guided)</w:t>
            </w:r>
          </w:p>
        </w:tc>
        <w:tc>
          <w:tcPr>
            <w:tcW w:type="dxa" w:w="1234"/>
          </w:tcPr>
          <w:p>
            <w:r>
              <w:rPr>
                <w:rFonts w:ascii="Calibri" w:hAnsi="Calibri"/>
                <w:sz w:val="22"/>
              </w:rPr>
              <w:t>N/A</w:t>
            </w:r>
          </w:p>
        </w:tc>
      </w:tr>
    </w:tbl>
    <w:p>
      <w:r>
        <w:rPr>
          <w:rFonts w:ascii="Calibri" w:hAnsi="Calibri"/>
          <w:color w:val="525866"/>
          <w:sz w:val="22"/>
        </w:rPr>
        <w:t>Sources: Visible Alpha Consensus and Actuals Data. Q2 2026 guidance from Q1 2026 earnings call (May 7, 2026). All figures in USD.</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$584.6M</w:t>
            </w:r>
          </w:p>
        </w:tc>
        <w:tc>
          <w:tcPr>
            <w:tcW w:type="dxa" w:w="1728"/>
          </w:tcPr>
          <w:p>
            <w:r>
              <w:rPr>
                <w:rFonts w:ascii="Calibri" w:hAnsi="Calibri"/>
                <w:sz w:val="22"/>
              </w:rPr>
              <w:t>$578.1M</w:t>
            </w:r>
          </w:p>
        </w:tc>
        <w:tc>
          <w:tcPr>
            <w:tcW w:type="dxa" w:w="1728"/>
          </w:tcPr>
          <w:p>
            <w:r>
              <w:rPr>
                <w:rFonts w:ascii="Calibri" w:hAnsi="Calibri"/>
                <w:b/>
                <w:color w:val="30A46C"/>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$628.0M</w:t>
            </w:r>
          </w:p>
        </w:tc>
        <w:tc>
          <w:tcPr>
            <w:tcW w:type="dxa" w:w="1728"/>
          </w:tcPr>
          <w:p>
            <w:r>
              <w:rPr>
                <w:rFonts w:ascii="Calibri" w:hAnsi="Calibri"/>
                <w:sz w:val="22"/>
              </w:rPr>
              <w:t>$620.6M</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$741.0M</w:t>
            </w:r>
          </w:p>
        </w:tc>
        <w:tc>
          <w:tcPr>
            <w:tcW w:type="dxa" w:w="1728"/>
          </w:tcPr>
          <w:p>
            <w:r>
              <w:rPr>
                <w:rFonts w:ascii="Calibri" w:hAnsi="Calibri"/>
                <w:sz w:val="22"/>
              </w:rPr>
              <w:t>$758.4M</w:t>
            </w:r>
          </w:p>
        </w:tc>
        <w:tc>
          <w:tcPr>
            <w:tcW w:type="dxa" w:w="1728"/>
          </w:tcPr>
          <w:p>
            <w:r>
              <w:rPr>
                <w:rFonts w:ascii="Calibri" w:hAnsi="Calibri"/>
                <w:b/>
                <w:color w:val="E5484D"/>
                <w:sz w:val="22"/>
              </w:rPr>
              <w:t>-2.3%</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$616.0M</w:t>
            </w:r>
          </w:p>
        </w:tc>
        <w:tc>
          <w:tcPr>
            <w:tcW w:type="dxa" w:w="1728"/>
          </w:tcPr>
          <w:p>
            <w:r>
              <w:rPr>
                <w:rFonts w:ascii="Calibri" w:hAnsi="Calibri"/>
                <w:sz w:val="22"/>
              </w:rPr>
              <w:t>$575.6M</w:t>
            </w:r>
          </w:p>
        </w:tc>
        <w:tc>
          <w:tcPr>
            <w:tcW w:type="dxa" w:w="1728"/>
          </w:tcPr>
          <w:p>
            <w:r>
              <w:rPr>
                <w:rFonts w:ascii="Calibri" w:hAnsi="Calibri"/>
                <w:b/>
                <w:color w:val="30A46C"/>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$694.0M</w:t>
            </w:r>
          </w:p>
        </w:tc>
        <w:tc>
          <w:tcPr>
            <w:tcW w:type="dxa" w:w="1728"/>
          </w:tcPr>
          <w:p>
            <w:r>
              <w:rPr>
                <w:rFonts w:ascii="Calibri" w:hAnsi="Calibri"/>
                <w:sz w:val="22"/>
              </w:rPr>
              <w:t>$685.9M</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$739.4M</w:t>
            </w:r>
          </w:p>
        </w:tc>
        <w:tc>
          <w:tcPr>
            <w:tcW w:type="dxa" w:w="1728"/>
          </w:tcPr>
          <w:p>
            <w:r>
              <w:rPr>
                <w:rFonts w:ascii="Calibri" w:hAnsi="Calibri"/>
                <w:sz w:val="22"/>
              </w:rPr>
              <w:t>$719.4M</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$846.8M</w:t>
            </w:r>
          </w:p>
        </w:tc>
        <w:tc>
          <w:tcPr>
            <w:tcW w:type="dxa" w:w="1728"/>
          </w:tcPr>
          <w:p>
            <w:r>
              <w:rPr>
                <w:rFonts w:ascii="Calibri" w:hAnsi="Calibri"/>
                <w:sz w:val="22"/>
              </w:rPr>
              <w:t>$841.9M</w:t>
            </w:r>
          </w:p>
        </w:tc>
        <w:tc>
          <w:tcPr>
            <w:tcW w:type="dxa" w:w="1728"/>
          </w:tcPr>
          <w:p>
            <w:r>
              <w:rPr>
                <w:rFonts w:ascii="Calibri" w:hAnsi="Calibri"/>
                <w:b/>
                <w:color w:val="30A46C"/>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$688.9M</w:t>
            </w:r>
          </w:p>
        </w:tc>
        <w:tc>
          <w:tcPr>
            <w:tcW w:type="dxa" w:w="1728"/>
          </w:tcPr>
          <w:p>
            <w:r>
              <w:rPr>
                <w:rFonts w:ascii="Calibri" w:hAnsi="Calibri"/>
                <w:sz w:val="22"/>
              </w:rPr>
              <w:t>$679.1M</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bl>
    <w:p>
      <w:pPr>
        <w:pStyle w:val="Heading3"/>
      </w:pPr>
      <w:r>
        <w:rPr>
          <w:rFonts w:ascii="Calibri" w:hAnsi="Calibri"/>
          <w:b/>
          <w:color w:val="3B4259"/>
          <w:sz w:val="24"/>
        </w:rPr>
        <w:t>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$241.9M</w:t>
            </w:r>
          </w:p>
        </w:tc>
        <w:tc>
          <w:tcPr>
            <w:tcW w:type="dxa" w:w="1728"/>
          </w:tcPr>
          <w:p>
            <w:r>
              <w:rPr>
                <w:rFonts w:ascii="Calibri" w:hAnsi="Calibri"/>
                <w:sz w:val="22"/>
              </w:rPr>
              <w:t>$226.8M</w:t>
            </w:r>
          </w:p>
        </w:tc>
        <w:tc>
          <w:tcPr>
            <w:tcW w:type="dxa" w:w="1728"/>
          </w:tcPr>
          <w:p>
            <w:r>
              <w:rPr>
                <w:rFonts w:ascii="Calibri" w:hAnsi="Calibri"/>
                <w:b/>
                <w:color w:val="30A46C"/>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$257.0M</w:t>
            </w:r>
          </w:p>
        </w:tc>
        <w:tc>
          <w:tcPr>
            <w:tcW w:type="dxa" w:w="1728"/>
          </w:tcPr>
          <w:p>
            <w:r>
              <w:rPr>
                <w:rFonts w:ascii="Calibri" w:hAnsi="Calibri"/>
                <w:sz w:val="22"/>
              </w:rPr>
              <w:t>$253.5M</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$350.0M</w:t>
            </w:r>
          </w:p>
        </w:tc>
        <w:tc>
          <w:tcPr>
            <w:tcW w:type="dxa" w:w="1728"/>
          </w:tcPr>
          <w:p>
            <w:r>
              <w:rPr>
                <w:rFonts w:ascii="Calibri" w:hAnsi="Calibri"/>
                <w:sz w:val="22"/>
              </w:rPr>
              <w:t>$365.2M</w:t>
            </w:r>
          </w:p>
        </w:tc>
        <w:tc>
          <w:tcPr>
            <w:tcW w:type="dxa" w:w="1728"/>
          </w:tcPr>
          <w:p>
            <w:r>
              <w:rPr>
                <w:rFonts w:ascii="Calibri" w:hAnsi="Calibri"/>
                <w:b/>
                <w:color w:val="E5484D"/>
                <w:sz w:val="22"/>
              </w:rPr>
              <w:t>-4.2%</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$207.9M</w:t>
            </w:r>
          </w:p>
        </w:tc>
        <w:tc>
          <w:tcPr>
            <w:tcW w:type="dxa" w:w="1728"/>
          </w:tcPr>
          <w:p>
            <w:r>
              <w:rPr>
                <w:rFonts w:ascii="Calibri" w:hAnsi="Calibri"/>
                <w:sz w:val="22"/>
              </w:rPr>
              <w:t>$148.7M</w:t>
            </w:r>
          </w:p>
        </w:tc>
        <w:tc>
          <w:tcPr>
            <w:tcW w:type="dxa" w:w="1728"/>
          </w:tcPr>
          <w:p>
            <w:r>
              <w:rPr>
                <w:rFonts w:ascii="Calibri" w:hAnsi="Calibri"/>
                <w:b/>
                <w:color w:val="30A46C"/>
                <w:sz w:val="22"/>
              </w:rPr>
              <w:t>+39.8%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$270.8M</w:t>
            </w:r>
          </w:p>
        </w:tc>
        <w:tc>
          <w:tcPr>
            <w:tcW w:type="dxa" w:w="1728"/>
          </w:tcPr>
          <w:p>
            <w:r>
              <w:rPr>
                <w:rFonts w:ascii="Calibri" w:hAnsi="Calibri"/>
                <w:sz w:val="22"/>
              </w:rPr>
              <w:t>$261.6M</w:t>
            </w:r>
          </w:p>
        </w:tc>
        <w:tc>
          <w:tcPr>
            <w:tcW w:type="dxa" w:w="1728"/>
          </w:tcPr>
          <w:p>
            <w:r>
              <w:rPr>
                <w:rFonts w:ascii="Calibri" w:hAnsi="Calibri"/>
                <w:b/>
                <w:color w:val="30A46C"/>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$317.5M</w:t>
            </w:r>
          </w:p>
        </w:tc>
        <w:tc>
          <w:tcPr>
            <w:tcW w:type="dxa" w:w="1728"/>
          </w:tcPr>
          <w:p>
            <w:r>
              <w:rPr>
                <w:rFonts w:ascii="Calibri" w:hAnsi="Calibri"/>
                <w:sz w:val="22"/>
              </w:rPr>
              <w:t>$278.1M</w:t>
            </w:r>
          </w:p>
        </w:tc>
        <w:tc>
          <w:tcPr>
            <w:tcW w:type="dxa" w:w="1728"/>
          </w:tcPr>
          <w:p>
            <w:r>
              <w:rPr>
                <w:rFonts w:ascii="Calibri" w:hAnsi="Calibri"/>
                <w:b/>
                <w:color w:val="30A46C"/>
                <w:sz w:val="22"/>
              </w:rPr>
              <w:t>+14.2%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$400.3M</w:t>
            </w:r>
          </w:p>
        </w:tc>
        <w:tc>
          <w:tcPr>
            <w:tcW w:type="dxa" w:w="1728"/>
          </w:tcPr>
          <w:p>
            <w:r>
              <w:rPr>
                <w:rFonts w:ascii="Calibri" w:hAnsi="Calibri"/>
                <w:sz w:val="22"/>
              </w:rPr>
              <w:t>$377.6M</w:t>
            </w:r>
          </w:p>
        </w:tc>
        <w:tc>
          <w:tcPr>
            <w:tcW w:type="dxa" w:w="1728"/>
          </w:tcPr>
          <w:p>
            <w:r>
              <w:rPr>
                <w:rFonts w:ascii="Calibri" w:hAnsi="Calibri"/>
                <w:b/>
                <w:color w:val="30A46C"/>
                <w:sz w:val="22"/>
              </w:rPr>
              <w:t>+6.0%</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$206.1M</w:t>
            </w:r>
          </w:p>
        </w:tc>
        <w:tc>
          <w:tcPr>
            <w:tcW w:type="dxa" w:w="1728"/>
          </w:tcPr>
          <w:p>
            <w:r>
              <w:rPr>
                <w:rFonts w:ascii="Calibri" w:hAnsi="Calibri"/>
                <w:sz w:val="22"/>
              </w:rPr>
              <w:t>$198.3M</w:t>
            </w:r>
          </w:p>
        </w:tc>
        <w:tc>
          <w:tcPr>
            <w:tcW w:type="dxa" w:w="1728"/>
          </w:tcPr>
          <w:p>
            <w:r>
              <w:rPr>
                <w:rFonts w:ascii="Calibri" w:hAnsi="Calibri"/>
                <w:b/>
                <w:color w:val="30A46C"/>
                <w:sz w:val="22"/>
              </w:rPr>
              <w:t>+3.9%</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TTD has beaten revenue consensus in 7 of the last 8 quarters (the lone miss was Q4 2024), with beats typically in the +1–3% range. EBITDA beats have been more variable but consistent — 7 of 8 quarters. The Q4 2024 double-miss was the anomaly; since then, the company has consistently beaten on both metrics. However, the Q1 2026 revenue beat was accompanied by a below-consensus Q2 guide, which drove the negative stock reaction — suggesting the market is now focused on forward guidance rather than backward beats.</w:t>
      </w:r>
    </w:p>
    <w:p>
      <w:r>
        <w:rPr>
          <w:rFonts w:ascii="Calibri" w:hAnsi="Calibr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 has been issued since the Q1 2026 earnings call. The only material post-earnings development was the Publicis dispute resolution on June 12, which is a qualitative positive but has not prompted a guidance update. Tone remains cautiously constructive on the long term, with near-term macro headwinds explicitly acknowledged.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≥$750M</w:t>
            </w:r>
          </w:p>
        </w:tc>
        <w:tc>
          <w:tcPr>
            <w:tcW w:type="dxa" w:w="1728"/>
          </w:tcPr>
          <w:p>
            <w:r>
              <w:rPr>
                <w:rFonts w:ascii="Calibri" w:hAnsi="Calibri"/>
                <w:sz w:val="22"/>
              </w:rPr>
              <w:t>—</w:t>
            </w:r>
          </w:p>
        </w:tc>
        <w:tc>
          <w:tcPr>
            <w:tcW w:type="dxa" w:w="1728"/>
          </w:tcPr>
          <w:p>
            <w:r>
              <w:rPr>
                <w:rFonts w:ascii="Calibri" w:hAnsi="Calibri"/>
                <w:sz w:val="22"/>
              </w:rPr>
              <w:t>$752.1M</w:t>
            </w:r>
          </w:p>
        </w:tc>
        <w:tc>
          <w:tcPr>
            <w:tcW w:type="dxa" w:w="1728"/>
          </w:tcPr>
          <w:p>
            <w:r>
              <w:rPr>
                <w:rFonts w:ascii="Calibri" w:hAnsi="Calibri"/>
                <w:sz w:val="22"/>
              </w:rPr>
              <w:t>No revision. Consensus sits just $2M above the floor. Guidance came in ~$20M below prior street consensus of ~$772M, triggering multiple analyst downgrades.</w:t>
            </w:r>
          </w:p>
        </w:tc>
      </w:tr>
      <w:tr>
        <w:tc>
          <w:tcPr>
            <w:tcW w:type="dxa" w:w="1728"/>
          </w:tcPr>
          <w:p>
            <w:r>
              <w:rPr>
                <w:rFonts w:ascii="Calibri" w:hAnsi="Calibri"/>
                <w:sz w:val="22"/>
              </w:rPr>
              <w:t>Q2 2026 Adj. EBITDA</w:t>
            </w:r>
          </w:p>
        </w:tc>
        <w:tc>
          <w:tcPr>
            <w:tcW w:type="dxa" w:w="1728"/>
          </w:tcPr>
          <w:p>
            <w:r>
              <w:rPr>
                <w:rFonts w:ascii="Calibri" w:hAnsi="Calibri"/>
                <w:sz w:val="22"/>
              </w:rPr>
              <w:t>~$260M</w:t>
            </w:r>
          </w:p>
        </w:tc>
        <w:tc>
          <w:tcPr>
            <w:tcW w:type="dxa" w:w="1728"/>
          </w:tcPr>
          <w:p>
            <w:r>
              <w:rPr>
                <w:rFonts w:ascii="Calibri" w:hAnsi="Calibri"/>
                <w:sz w:val="22"/>
              </w:rPr>
              <w:t>—</w:t>
            </w:r>
          </w:p>
        </w:tc>
        <w:tc>
          <w:tcPr>
            <w:tcW w:type="dxa" w:w="1728"/>
          </w:tcPr>
          <w:p>
            <w:r>
              <w:rPr>
                <w:rFonts w:ascii="Calibri" w:hAnsi="Calibri"/>
                <w:sz w:val="22"/>
              </w:rPr>
              <w:t>$262.5M</w:t>
            </w:r>
          </w:p>
        </w:tc>
        <w:tc>
          <w:tcPr>
            <w:tcW w:type="dxa" w:w="1728"/>
          </w:tcPr>
          <w:p>
            <w:r>
              <w:rPr>
                <w:rFonts w:ascii="Calibri" w:hAnsi="Calibri"/>
                <w:sz w:val="22"/>
              </w:rPr>
              <w:t>No revision. Consensus ~1% above guidance midpoint. Q2 EBITDA guide also came in below prior consensus, reinforcing the cautious near-term tone.</w:t>
            </w:r>
          </w:p>
        </w:tc>
      </w:tr>
      <w:tr>
        <w:tc>
          <w:tcPr>
            <w:tcW w:type="dxa" w:w="1728"/>
          </w:tcPr>
          <w:p>
            <w:r>
              <w:rPr>
                <w:rFonts w:ascii="Calibri" w:hAnsi="Calibri"/>
                <w:sz w:val="22"/>
              </w:rPr>
              <w:t>FY 2026 Adj. EBITDA Margin</w:t>
            </w:r>
          </w:p>
        </w:tc>
        <w:tc>
          <w:tcPr>
            <w:tcW w:type="dxa" w:w="1728"/>
          </w:tcPr>
          <w:p>
            <w:r>
              <w:rPr>
                <w:rFonts w:ascii="Calibri" w:hAnsi="Calibri"/>
                <w:sz w:val="22"/>
              </w:rPr>
              <w:t>≥40%</w:t>
            </w:r>
          </w:p>
        </w:tc>
        <w:tc>
          <w:tcPr>
            <w:tcW w:type="dxa" w:w="1728"/>
          </w:tcPr>
          <w:p>
            <w:r>
              <w:rPr>
                <w:rFonts w:ascii="Calibri" w:hAnsi="Calibri"/>
                <w:sz w:val="22"/>
              </w:rPr>
              <w:t>—</w:t>
            </w:r>
          </w:p>
        </w:tc>
        <w:tc>
          <w:tcPr>
            <w:tcW w:type="dxa" w:w="1728"/>
          </w:tcPr>
          <w:p>
            <w:r>
              <w:rPr>
                <w:rFonts w:ascii="Calibri" w:hAnsi="Calibri"/>
                <w:sz w:val="22"/>
              </w:rPr>
              <w:t>~39.7% implied by consensus</w:t>
            </w:r>
          </w:p>
        </w:tc>
        <w:tc>
          <w:tcPr>
            <w:tcW w:type="dxa" w:w="1728"/>
          </w:tcPr>
          <w:p>
            <w:r>
              <w:rPr>
                <w:rFonts w:ascii="Calibri" w:hAnsi="Calibri"/>
                <w:sz w:val="22"/>
              </w:rPr>
              <w:t>No revision. Management explicitly maintained the ≥40% full-year margin target on the Q1 call. Consensus is tracking just below the floor, suggesting the street is not fully crediting the target.</w:t>
            </w:r>
          </w:p>
        </w:tc>
      </w:tr>
      <w:tr>
        <w:tc>
          <w:tcPr>
            <w:tcW w:type="dxa" w:w="1728"/>
          </w:tcPr>
          <w:p>
            <w:r>
              <w:rPr>
                <w:rFonts w:ascii="Calibri" w:hAnsi="Calibri"/>
                <w:sz w:val="22"/>
              </w:rPr>
              <w:t>Headcount Growth</w:t>
            </w:r>
          </w:p>
        </w:tc>
        <w:tc>
          <w:tcPr>
            <w:tcW w:type="dxa" w:w="1728"/>
          </w:tcPr>
          <w:p>
            <w:r>
              <w:rPr>
                <w:rFonts w:ascii="Calibri" w:hAnsi="Calibri"/>
                <w:sz w:val="22"/>
              </w:rPr>
              <w:t>Below revenue growth</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revision. Management reiterated focus on productivity and operating leverage. 2026 characterized as a “year of disciplined reinvestment.”</w:t>
            </w:r>
          </w:p>
        </w:tc>
      </w:tr>
      <w:tr>
        <w:tc>
          <w:tcPr>
            <w:tcW w:type="dxa" w:w="1728"/>
          </w:tcPr>
          <w:p>
            <w:r>
              <w:rPr>
                <w:rFonts w:ascii="Calibri" w:hAnsi="Calibri"/>
                <w:sz w:val="22"/>
              </w:rPr>
              <w:t>Publicis Relationship</w:t>
            </w:r>
          </w:p>
        </w:tc>
        <w:tc>
          <w:tcPr>
            <w:tcW w:type="dxa" w:w="1728"/>
          </w:tcPr>
          <w:p>
            <w:r>
              <w:rPr>
                <w:rFonts w:ascii="Calibri" w:hAnsi="Calibri"/>
                <w:sz w:val="22"/>
              </w:rPr>
              <w:t>Ongoing negotiations; no incremental agency weakness beyond macro</w:t>
            </w:r>
          </w:p>
        </w:tc>
        <w:tc>
          <w:tcPr>
            <w:tcW w:type="dxa" w:w="1728"/>
          </w:tcPr>
          <w:p>
            <w:r>
              <w:rPr>
                <w:rFonts w:ascii="Calibri" w:hAnsi="Calibri"/>
                <w:sz w:val="22"/>
              </w:rPr>
              <w:t>↑ Resolved June 12, 2026</w:t>
            </w:r>
          </w:p>
        </w:tc>
        <w:tc>
          <w:tcPr>
            <w:tcW w:type="dxa" w:w="1728"/>
          </w:tcPr>
          <w:p>
            <w:r>
              <w:rPr>
                <w:rFonts w:ascii="Calibri" w:hAnsi="Calibri"/>
                <w:sz w:val="22"/>
              </w:rPr>
              <w:t>N/A</w:t>
            </w:r>
          </w:p>
        </w:tc>
        <w:tc>
          <w:tcPr>
            <w:tcW w:type="dxa" w:w="1728"/>
          </w:tcPr>
          <w:p>
            <w:r>
              <w:rPr>
                <w:rFonts w:ascii="Calibri" w:hAnsi="Calibri"/>
                <w:sz w:val="22"/>
              </w:rPr>
              <w:t>↑ Positive development post-earnings: Publicis and TTD issued joint statement on June 12 confirming resolution of billing/audit dispute; Publicis resumed recommending TTD to clients. Terms not disclosed. HSBC upgraded TTD to Hold on the news.</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revenue consensus is essentially flat at ~$752M since May 8, and full-year 2026 revenue has drifted only modestly lower (~$3.187B to ~$3.181B). The lack of downward revision momentum is mildly encouraging, but the gap between consensus and guidance is razor-thin on revenue, leaving no room for error.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12, 2026 — 5 Days Post Q1 Print)</w:t>
            </w:r>
          </w:p>
        </w:tc>
        <w:tc>
          <w:tcPr>
            <w:tcW w:type="dxa" w:w="1080"/>
            <w:shd w:val="clear" w:color="auto" w:fill="3B4259"/>
          </w:tcPr>
          <w:p>
            <w:r>
              <w:rPr>
                <w:rFonts w:ascii="Calibri" w:hAnsi="Calibri"/>
                <w:b/>
                <w:color w:val="FFFFFF"/>
                <w:sz w:val="22"/>
              </w:rPr>
              <w:t>Current Estimate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7)</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$751.9M</w:t>
            </w:r>
          </w:p>
        </w:tc>
        <w:tc>
          <w:tcPr>
            <w:tcW w:type="dxa" w:w="1080"/>
          </w:tcPr>
          <w:p>
            <w:r>
              <w:rPr>
                <w:rFonts w:ascii="Calibri" w:hAnsi="Calibri"/>
                <w:sz w:val="22"/>
              </w:rPr>
              <w:t>$752.1M</w:t>
            </w:r>
          </w:p>
        </w:tc>
        <w:tc>
          <w:tcPr>
            <w:tcW w:type="dxa" w:w="1080"/>
          </w:tcPr>
          <w:p>
            <w:r>
              <w:rPr>
                <w:rFonts w:ascii="Calibri" w:hAnsi="Calibri"/>
                <w:sz w:val="22"/>
              </w:rPr>
              <w:t>+0.0%</w:t>
            </w:r>
          </w:p>
        </w:tc>
        <w:tc>
          <w:tcPr>
            <w:tcW w:type="dxa" w:w="1080"/>
          </w:tcPr>
          <w:p>
            <w:r>
              <w:rPr>
                <w:rFonts w:ascii="Calibri" w:hAnsi="Calibri"/>
                <w:sz w:val="22"/>
              </w:rPr>
              <w:t>≥$750M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floor</w:t>
            </w:r>
          </w:p>
        </w:tc>
      </w:tr>
      <w:tr>
        <w:tc>
          <w:tcPr>
            <w:tcW w:type="dxa" w:w="1080"/>
          </w:tcPr>
          <w:p>
            <w:r>
              <w:rPr>
                <w:rFonts w:ascii="Calibri" w:hAnsi="Calibri"/>
                <w:sz w:val="22"/>
              </w:rPr>
              <w:t>Adj. EBITDA — Q2 2026</w:t>
            </w:r>
          </w:p>
        </w:tc>
        <w:tc>
          <w:tcPr>
            <w:tcW w:type="dxa" w:w="1080"/>
          </w:tcPr>
          <w:p>
            <w:r>
              <w:rPr>
                <w:rFonts w:ascii="Calibri" w:hAnsi="Calibri"/>
                <w:sz w:val="22"/>
              </w:rPr>
              <w:t>$262.3M</w:t>
            </w:r>
          </w:p>
        </w:tc>
        <w:tc>
          <w:tcPr>
            <w:tcW w:type="dxa" w:w="1080"/>
          </w:tcPr>
          <w:p>
            <w:r>
              <w:rPr>
                <w:rFonts w:ascii="Calibri" w:hAnsi="Calibri"/>
                <w:sz w:val="22"/>
              </w:rPr>
              <w:t>$262.5M</w:t>
            </w:r>
          </w:p>
        </w:tc>
        <w:tc>
          <w:tcPr>
            <w:tcW w:type="dxa" w:w="1080"/>
          </w:tcPr>
          <w:p>
            <w:r>
              <w:rPr>
                <w:rFonts w:ascii="Calibri" w:hAnsi="Calibri"/>
                <w:sz w:val="22"/>
              </w:rPr>
              <w:t>+0.1%</w:t>
            </w:r>
          </w:p>
        </w:tc>
        <w:tc>
          <w:tcPr>
            <w:tcW w:type="dxa" w:w="1080"/>
          </w:tcPr>
          <w:p>
            <w:r>
              <w:rPr>
                <w:rFonts w:ascii="Calibri" w:hAnsi="Calibri"/>
                <w:sz w:val="22"/>
              </w:rPr>
              <w:t>~$260M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above midpoint</w:t>
            </w:r>
          </w:p>
        </w:tc>
      </w:tr>
      <w:tr>
        <w:tc>
          <w:tcPr>
            <w:tcW w:type="dxa" w:w="1080"/>
          </w:tcPr>
          <w:p>
            <w:r>
              <w:rPr>
                <w:rFonts w:ascii="Calibri" w:hAnsi="Calibri"/>
                <w:sz w:val="22"/>
              </w:rPr>
              <w:t>Adj. EPS — Q2 2026</w:t>
            </w:r>
          </w:p>
        </w:tc>
        <w:tc>
          <w:tcPr>
            <w:tcW w:type="dxa" w:w="1080"/>
          </w:tcPr>
          <w:p>
            <w:r>
              <w:rPr>
                <w:rFonts w:ascii="Calibri" w:hAnsi="Calibri"/>
                <w:sz w:val="22"/>
              </w:rPr>
              <w:t>$0.403</w:t>
            </w:r>
          </w:p>
        </w:tc>
        <w:tc>
          <w:tcPr>
            <w:tcW w:type="dxa" w:w="1080"/>
          </w:tcPr>
          <w:p>
            <w:r>
              <w:rPr>
                <w:rFonts w:ascii="Calibri" w:hAnsi="Calibri"/>
                <w:sz w:val="22"/>
              </w:rPr>
              <w:t>$0.404</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$3,185M</w:t>
            </w:r>
          </w:p>
        </w:tc>
        <w:tc>
          <w:tcPr>
            <w:tcW w:type="dxa" w:w="1080"/>
          </w:tcPr>
          <w:p>
            <w:r>
              <w:rPr>
                <w:rFonts w:ascii="Calibri" w:hAnsi="Calibri"/>
                <w:sz w:val="22"/>
              </w:rPr>
              <w:t>$3,181M</w:t>
            </w:r>
          </w:p>
        </w:tc>
        <w:tc>
          <w:tcPr>
            <w:tcW w:type="dxa" w:w="1080"/>
          </w:tcPr>
          <w:p>
            <w:r>
              <w:rPr>
                <w:rFonts w:ascii="Calibri" w:hAnsi="Calibri"/>
                <w:sz w:val="22"/>
              </w:rPr>
              <w:t>-0.1%</w:t>
            </w:r>
          </w:p>
        </w:tc>
        <w:tc>
          <w:tcPr>
            <w:tcW w:type="dxa" w:w="1080"/>
          </w:tcPr>
          <w:p>
            <w:r>
              <w:rPr>
                <w:rFonts w:ascii="Calibri" w:hAnsi="Calibri"/>
                <w:sz w:val="22"/>
              </w:rPr>
              <w:t>N/A (no FY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$1,267M</w:t>
            </w:r>
          </w:p>
        </w:tc>
        <w:tc>
          <w:tcPr>
            <w:tcW w:type="dxa" w:w="1080"/>
          </w:tcPr>
          <w:p>
            <w:r>
              <w:rPr>
                <w:rFonts w:ascii="Calibri" w:hAnsi="Calibri"/>
                <w:sz w:val="22"/>
              </w:rPr>
              <w:t>$1,263M</w:t>
            </w:r>
          </w:p>
        </w:tc>
        <w:tc>
          <w:tcPr>
            <w:tcW w:type="dxa" w:w="1080"/>
          </w:tcPr>
          <w:p>
            <w:r>
              <w:rPr>
                <w:rFonts w:ascii="Calibri" w:hAnsi="Calibri"/>
                <w:sz w:val="22"/>
              </w:rPr>
              <w:t>-0.3%</w:t>
            </w:r>
          </w:p>
        </w:tc>
        <w:tc>
          <w:tcPr>
            <w:tcW w:type="dxa" w:w="1080"/>
          </w:tcPr>
          <w:p>
            <w:r>
              <w:rPr>
                <w:rFonts w:ascii="Calibri" w:hAnsi="Calibri"/>
                <w:sz w:val="22"/>
              </w:rPr>
              <w:t>≥40%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~39.7% implied (just below floor)</w:t>
            </w:r>
          </w:p>
        </w:tc>
      </w:tr>
      <w:tr>
        <w:tc>
          <w:tcPr>
            <w:tcW w:type="dxa" w:w="1080"/>
          </w:tcPr>
          <w:p>
            <w:r>
              <w:rPr>
                <w:rFonts w:ascii="Calibri" w:hAnsi="Calibri"/>
                <w:sz w:val="22"/>
              </w:rPr>
              <w:t>Adj. EPS — FY 2026</w:t>
            </w:r>
          </w:p>
        </w:tc>
        <w:tc>
          <w:tcPr>
            <w:tcW w:type="dxa" w:w="1080"/>
          </w:tcPr>
          <w:p>
            <w:r>
              <w:rPr>
                <w:rFonts w:ascii="Calibri" w:hAnsi="Calibri"/>
                <w:sz w:val="22"/>
              </w:rPr>
              <w:t>$1.863</w:t>
            </w:r>
          </w:p>
        </w:tc>
        <w:tc>
          <w:tcPr>
            <w:tcW w:type="dxa" w:w="1080"/>
          </w:tcPr>
          <w:p>
            <w:r>
              <w:rPr>
                <w:rFonts w:ascii="Calibri" w:hAnsi="Calibri"/>
                <w:sz w:val="22"/>
              </w:rPr>
              <w:t>$1.856</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near-zero estimate drift since the Q1 print is notable — the street has essentially anchored to guidance and stopped moving. This creates a binary setup: a clean beat on revenue and EBITDA (even modestly) combined with in-line or better Q3 guidance could be a meaningful positive catalyst given the stock’s ~19% decline since Q1 earnings. Conversely, any revenue miss or further Q3 guide-down would likely accelerate the selloff. The FY 2026 EBITDA consensus tracking just below the ≥40% margin floor is a subtle risk — if management reiterates the target, it implies upside to consensus; if they soften the language, it would be a negative signal.</w:t>
      </w:r>
    </w:p>
    <w:p>
      <w:r>
        <w:rPr>
          <w:rFonts w:ascii="Calibri" w:hAnsi="Calibri"/>
          <w:color w:val="525866"/>
          <w:sz w:val="22"/>
        </w:rPr>
        <w:t>Source: Visible Alpha Consensus and Actuals Data. Baseline as of May 12, 2026 (5 trading days post Q1 print).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TTD has declined ~19% since Q1 earnings (May 7 close: $23.49 → Aug 4: $19.34), dramatically underperforming the S&amp;P 500 (+5.4%) and QQQ (+4.2%) over the same period. The underperformance is driven almost entirely by multiple compression and sentiment deterioration — the below-consensus Q2 guide, wave of analyst downgrades, and Publicis dispute overhang — rather than estimate revisions, which have been nearly flat.</w:t>
      </w:r>
    </w:p>
    <w:p>
      <w:r>
        <w:rPr>
          <w:rFonts w:ascii="Calibri" w:hAnsi="Calibri"/>
          <w:b/>
          <w:color w:val="525866"/>
          <w:sz w:val="22"/>
        </w:rPr>
        <w:t xml:space="preserve">Sector ETF used: </w:t>
      </w:r>
      <w:r>
        <w:rPr>
          <w:rFonts w:ascii="Calibri" w:hAnsi="Calibri"/>
          <w:color w:val="525866"/>
          <w:sz w:val="22"/>
        </w:rPr>
        <w:t>QQQ (Invesco QQQ Trust, Nasdaq-100 ETF) — appropriate for TTD given its Nasdaq listing and ad-tech/software classification. S&amp;P 500 proxy: SPY (SPDR S&amp;P 500 ETF Trust).</w:t>
      </w:r>
    </w:p>
    <w:p>
      <w:r>
        <w:rPr>
          <w:rFonts w:ascii="Calibri" w:hAnsi="Calibri"/>
          <w:color w:val="525866"/>
          <w:sz w:val="22"/>
        </w:rPr>
        <w:t>Key Events Since Q1 Earnings (May 7, 2026):</w:t>
      </w:r>
    </w:p>
    <w:p>
      <w:pPr>
        <w:pStyle w:val="ListBullet"/>
        <w:ind w:left="360" w:hanging="360"/>
      </w:pPr>
      <w:r>
        <w:rPr>
          <w:rFonts w:ascii="Calibri" w:hAnsi="Calibri"/>
          <w:b/>
          <w:color w:val="525866"/>
          <w:sz w:val="22"/>
        </w:rPr>
        <w:t>May 7–8, 2026:</w:t>
      </w:r>
      <w:r>
        <w:rPr>
          <w:rFonts w:ascii="Calibri" w:hAnsi="Calibri"/>
          <w:color w:val="525866"/>
          <w:sz w:val="22"/>
        </w:rPr>
        <w:t xml:space="preserve"> Q1 2026 earnings — revenue beat but Q2 guide below consensus; multiple analyst downgrades (KeyBanc, Oppenheimer, William Blair to Neutral; Guggenheim PT cut to $25). Stock fell ~13% in the days following.</w:t>
      </w:r>
    </w:p>
    <w:p>
      <w:pPr>
        <w:pStyle w:val="ListBullet"/>
        <w:ind w:left="360" w:hanging="360"/>
      </w:pPr>
      <w:r>
        <w:rPr>
          <w:rFonts w:ascii="Calibri" w:hAnsi="Calibri"/>
          <w:b/>
          <w:color w:val="525866"/>
          <w:sz w:val="22"/>
        </w:rPr>
        <w:t>June 12, 2026:</w:t>
      </w:r>
      <w:r>
        <w:rPr>
          <w:rFonts w:ascii="Calibri" w:hAnsi="Calibri"/>
          <w:color w:val="525866"/>
          <w:sz w:val="22"/>
        </w:rPr>
        <w:t xml:space="preserve"> Publicis dispute resolved — joint statement confirming TTD back on Publicis recommended DSP list. Stock rallied ~4% on the day. HSBC upgraded to Hold.</w:t>
      </w:r>
    </w:p>
    <w:p>
      <w:pPr>
        <w:pStyle w:val="ListBullet"/>
        <w:ind w:left="360" w:hanging="360"/>
      </w:pPr>
      <w:r>
        <w:rPr>
          <w:rFonts w:ascii="Calibri" w:hAnsi="Calibri"/>
          <w:b/>
          <w:color w:val="525866"/>
          <w:sz w:val="22"/>
        </w:rPr>
        <w:t>June 30, 2026:</w:t>
      </w:r>
      <w:r>
        <w:rPr>
          <w:rFonts w:ascii="Calibri" w:hAnsi="Calibri"/>
          <w:color w:val="525866"/>
          <w:sz w:val="22"/>
        </w:rPr>
        <w:t xml:space="preserve"> Arete Research downgraded TTD to Strong Sell, citing concerns about business model shifts and market share losses. Stock fell further.</w:t>
      </w:r>
    </w:p>
    <w:p>
      <w:pPr>
        <w:pStyle w:val="ListBullet"/>
        <w:ind w:left="360" w:hanging="360"/>
      </w:pPr>
      <w:r>
        <w:rPr>
          <w:rFonts w:ascii="Calibri" w:hAnsi="Calibri"/>
          <w:b/>
          <w:color w:val="525866"/>
          <w:sz w:val="22"/>
        </w:rPr>
        <w:t>July 13, 2026:</w:t>
      </w:r>
      <w:r>
        <w:rPr>
          <w:rFonts w:ascii="Calibri" w:hAnsi="Calibri"/>
          <w:color w:val="525866"/>
          <w:sz w:val="22"/>
        </w:rPr>
        <w:t xml:space="preserve"> Board expansion — Penry Price (former LinkedIn VP Marketing Solutions, Google VP Agency Sales) appointed as Director and Compensation Committee Chair.</w:t>
      </w:r>
    </w:p>
    <w:p>
      <w:pPr>
        <w:pStyle w:val="ListBullet"/>
        <w:ind w:left="360" w:hanging="360"/>
      </w:pPr>
      <w:r>
        <w:rPr>
          <w:rFonts w:ascii="Calibri" w:hAnsi="Calibri"/>
          <w:b/>
          <w:color w:val="525866"/>
          <w:sz w:val="22"/>
        </w:rPr>
        <w:t>Late July 2026:</w:t>
      </w:r>
      <w:r>
        <w:rPr>
          <w:rFonts w:ascii="Calibri" w:hAnsi="Calibri"/>
          <w:color w:val="525866"/>
          <w:sz w:val="22"/>
        </w:rPr>
        <w:t xml:space="preserve"> Stock hit cycle low of ~$16.79 (July 23) before recovering to ~$19.34 by Aug 4. Russell index additions cited as a source of passive buying support.</w:t>
      </w:r>
    </w:p>
    <w:p>
      <w:r>
        <w:rPr>
          <w:rFonts w:ascii="Calibri" w:hAnsi="Calibri"/>
          <w:color w:val="525866"/>
          <w:sz w:val="22"/>
        </w:rPr>
        <w:t>Stock Performance Summary (May 7 – Aug 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May 7 Close</w:t>
            </w:r>
          </w:p>
        </w:tc>
        <w:tc>
          <w:tcPr>
            <w:tcW w:type="dxa" w:w="2160"/>
            <w:shd w:val="clear" w:color="auto" w:fill="3B4259"/>
          </w:tcPr>
          <w:p>
            <w:r>
              <w:rPr>
                <w:rFonts w:ascii="Calibri" w:hAnsi="Calibri"/>
                <w:b/>
                <w:color w:val="FFFFFF"/>
                <w:sz w:val="22"/>
              </w:rPr>
              <w:t>Aug 4 Close</w:t>
            </w:r>
          </w:p>
        </w:tc>
        <w:tc>
          <w:tcPr>
            <w:tcW w:type="dxa" w:w="2160"/>
            <w:shd w:val="clear" w:color="auto" w:fill="3B4259"/>
          </w:tcPr>
          <w:p>
            <w:r>
              <w:rPr>
                <w:rFonts w:ascii="Calibri" w:hAnsi="Calibri"/>
                <w:b/>
                <w:color w:val="FFFFFF"/>
                <w:sz w:val="22"/>
              </w:rPr>
              <w:t>Return</w:t>
            </w:r>
          </w:p>
        </w:tc>
      </w:tr>
      <w:tr>
        <w:tc>
          <w:tcPr>
            <w:tcW w:type="dxa" w:w="2160"/>
          </w:tcPr>
          <w:p>
            <w:r>
              <w:rPr>
                <w:rFonts w:ascii="Calibri" w:hAnsi="Calibri"/>
                <w:sz w:val="22"/>
              </w:rPr>
              <w:t>TTD</w:t>
            </w:r>
          </w:p>
        </w:tc>
        <w:tc>
          <w:tcPr>
            <w:tcW w:type="dxa" w:w="2160"/>
          </w:tcPr>
          <w:p>
            <w:r>
              <w:rPr>
                <w:rFonts w:ascii="Calibri" w:hAnsi="Calibri"/>
                <w:sz w:val="22"/>
              </w:rPr>
              <w:t>$23.49</w:t>
            </w:r>
          </w:p>
        </w:tc>
        <w:tc>
          <w:tcPr>
            <w:tcW w:type="dxa" w:w="2160"/>
          </w:tcPr>
          <w:p>
            <w:r>
              <w:rPr>
                <w:rFonts w:ascii="Calibri" w:hAnsi="Calibri"/>
                <w:sz w:val="22"/>
              </w:rPr>
              <w:t>$19.34</w:t>
            </w:r>
          </w:p>
        </w:tc>
        <w:tc>
          <w:tcPr>
            <w:tcW w:type="dxa" w:w="2160"/>
          </w:tcPr>
          <w:p>
            <w:r>
              <w:rPr>
                <w:rFonts w:ascii="Calibri" w:hAnsi="Calibri"/>
                <w:b/>
                <w:color w:val="E5484D"/>
                <w:sz w:val="22"/>
              </w:rPr>
              <w:t>-17.7%</w:t>
            </w:r>
          </w:p>
        </w:tc>
      </w:tr>
      <w:tr>
        <w:tc>
          <w:tcPr>
            <w:tcW w:type="dxa" w:w="2160"/>
          </w:tcPr>
          <w:p>
            <w:r>
              <w:rPr>
                <w:rFonts w:ascii="Calibri" w:hAnsi="Calibri"/>
                <w:sz w:val="22"/>
              </w:rPr>
              <w:t>SPY (S&amp;P 500)</w:t>
            </w:r>
          </w:p>
        </w:tc>
        <w:tc>
          <w:tcPr>
            <w:tcW w:type="dxa" w:w="2160"/>
          </w:tcPr>
          <w:p>
            <w:r>
              <w:rPr>
                <w:rFonts w:ascii="Calibri" w:hAnsi="Calibri"/>
                <w:sz w:val="22"/>
              </w:rPr>
              <w:t>$731.58</w:t>
            </w:r>
          </w:p>
        </w:tc>
        <w:tc>
          <w:tcPr>
            <w:tcW w:type="dxa" w:w="2160"/>
          </w:tcPr>
          <w:p>
            <w:r>
              <w:rPr>
                <w:rFonts w:ascii="Calibri" w:hAnsi="Calibri"/>
                <w:sz w:val="22"/>
              </w:rPr>
              <w:t>$771.33</w:t>
            </w:r>
          </w:p>
        </w:tc>
        <w:tc>
          <w:tcPr>
            <w:tcW w:type="dxa" w:w="2160"/>
          </w:tcPr>
          <w:p>
            <w:r>
              <w:rPr>
                <w:rFonts w:ascii="Calibri" w:hAnsi="Calibri"/>
                <w:b/>
                <w:color w:val="30A46C"/>
                <w:sz w:val="22"/>
              </w:rPr>
              <w:t>+5.4%</w:t>
            </w:r>
          </w:p>
        </w:tc>
      </w:tr>
      <w:tr>
        <w:tc>
          <w:tcPr>
            <w:tcW w:type="dxa" w:w="2160"/>
          </w:tcPr>
          <w:p>
            <w:r>
              <w:rPr>
                <w:rFonts w:ascii="Calibri" w:hAnsi="Calibri"/>
                <w:sz w:val="22"/>
              </w:rPr>
              <w:t>QQQ (Nasdaq-100)</w:t>
            </w:r>
          </w:p>
        </w:tc>
        <w:tc>
          <w:tcPr>
            <w:tcW w:type="dxa" w:w="2160"/>
          </w:tcPr>
          <w:p>
            <w:r>
              <w:rPr>
                <w:rFonts w:ascii="Calibri" w:hAnsi="Calibri"/>
                <w:sz w:val="22"/>
              </w:rPr>
              <w:t>$694.94</w:t>
            </w:r>
          </w:p>
        </w:tc>
        <w:tc>
          <w:tcPr>
            <w:tcW w:type="dxa" w:w="2160"/>
          </w:tcPr>
          <w:p>
            <w:r>
              <w:rPr>
                <w:rFonts w:ascii="Calibri" w:hAnsi="Calibri"/>
                <w:sz w:val="22"/>
              </w:rPr>
              <w:t>$723.85</w:t>
            </w:r>
          </w:p>
        </w:tc>
        <w:tc>
          <w:tcPr>
            <w:tcW w:type="dxa" w:w="2160"/>
          </w:tcPr>
          <w:p>
            <w:r>
              <w:rPr>
                <w:rFonts w:ascii="Calibri" w:hAnsi="Calibri"/>
                <w:b/>
                <w:color w:val="30A46C"/>
                <w:sz w:val="22"/>
              </w:rPr>
              <w:t>+4.2%</w:t>
            </w:r>
          </w:p>
        </w:tc>
      </w:tr>
    </w:tbl>
    <w:p>
      <w:r>
        <w:rPr>
          <w:rFonts w:ascii="Calibri" w:hAnsi="Calibri"/>
          <w:color w:val="525866"/>
          <w:sz w:val="22"/>
        </w:rPr>
        <w:t>Source: Stock Price Data (Yahoo Finance). Indexed performance chart: TTD vs. QQQ vs. SPY since May 7, 2026 (Q1 earnings date).</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Publicis dispute resolution (June 12) is the single most important development since Q1 earnings — it removes the largest idiosyncratic overhang and, if spend has re-engaged in Q2, could be a meaningful positive surprise. The wave of analyst downgrades post-Q1 has reset sentiment to a low bar, which is a setup for a relief rally if results are merely in-line.</w:t>
      </w:r>
    </w:p>
    <w:p>
      <w:pPr>
        <w:pStyle w:val="ListBullet"/>
        <w:ind w:left="360" w:hanging="360"/>
      </w:pPr>
      <w:r>
        <w:rPr>
          <w:rFonts w:ascii="Calibri" w:hAnsi="Calibri"/>
          <w:b/>
          <w:color w:val="525866"/>
          <w:sz w:val="22"/>
        </w:rPr>
        <w:t>June 12, 2026 — Publicis Dispute Resolved (</w:t>
      </w:r>
      <w:r>
        <w:rPr>
          <w:rFonts w:ascii="Calibri" w:hAnsi="Calibri"/>
          <w:b/>
          <w:color w:val="525866"/>
          <w:sz w:val="22"/>
          <w:u w:val="single"/>
        </w:rPr>
        <w:t>Most Important</w:t>
      </w:r>
      <w:r>
        <w:rPr>
          <w:rFonts w:ascii="Calibri" w:hAnsi="Calibri"/>
          <w:b/>
          <w:color w:val="525866"/>
          <w:sz w:val="22"/>
        </w:rPr>
        <w:t>):</w:t>
      </w:r>
      <w:r>
        <w:rPr>
          <w:rFonts w:ascii="Calibri" w:hAnsi="Calibri"/>
          <w:i/>
          <w:color w:val="525866"/>
          <w:sz w:val="22"/>
        </w:rPr>
        <w:t xml:space="preserve"> Publicis and The Trade Desk issued a joint statement confirming resolution of the billing/audit dispute that began in March 2026. Publicis resumed recommending TTD to clients alongside other DSP partners. The dispute had caused a pause in ad spend from some Publicis brands on TTD and was a key overhang on the stock. Terms of the settlement were not disclosed. TTD shares rose ~4% on the news. HSBC upgraded TTD to Hold (from Reduce) with a $20 target. </w:t>
      </w:r>
      <w:r>
        <w:rPr>
          <w:rFonts w:ascii="Calibri" w:hAnsi="Calibri"/>
          <w:b/>
          <w:color w:val="525866"/>
          <w:sz w:val="22"/>
        </w:rPr>
        <w:t xml:space="preserve">Implication: </w:t>
      </w:r>
      <w:r>
        <w:rPr>
          <w:rFonts w:ascii="Calibri" w:hAnsi="Calibri"/>
          <w:color w:val="525866"/>
          <w:sz w:val="22"/>
        </w:rPr>
        <w:t>Any Q2 commentary on the pace of Publicis spend re-engagement will be closely watched. Even partial recovery could provide a modest revenue tailwind.</w:t>
      </w:r>
    </w:p>
    <w:p>
      <w:pPr>
        <w:pStyle w:val="ListBullet"/>
        <w:ind w:left="360" w:hanging="360"/>
      </w:pPr>
      <w:r>
        <w:rPr>
          <w:rFonts w:ascii="Calibri" w:hAnsi="Calibri"/>
          <w:b/>
          <w:color w:val="525866"/>
          <w:sz w:val="22"/>
        </w:rPr>
        <w:t>May 7–8, 2026 — Wave of Analyst Downgrades Post-Q1:</w:t>
      </w:r>
      <w:r>
        <w:rPr>
          <w:rFonts w:ascii="Calibri" w:hAnsi="Calibri"/>
          <w:i/>
          <w:color w:val="525866"/>
          <w:sz w:val="22"/>
        </w:rPr>
        <w:t xml:space="preserve"> KeyBanc (Overweight → Sector Weight), Oppenheimer (Outperform → Perform), and William Blair (Outperform → Market Perform) all downgraded TTD. Guggenheim cut PT to $25 (from $28, maintained Buy). Wells Fargo cut PT to $20 (from $24, Equal Weight), citing “evidence of idiosyncratic issues” including agency relationship strains and competitive pressures. Bank of America cut PT to $18 (from $20, Underperform). Citi cut PT to $21 (from $24, Neutral). </w:t>
      </w:r>
      <w:r>
        <w:rPr>
          <w:rFonts w:ascii="Calibri" w:hAnsi="Calibri"/>
          <w:b/>
          <w:color w:val="525866"/>
          <w:sz w:val="22"/>
        </w:rPr>
        <w:t xml:space="preserve">Implication: </w:t>
      </w:r>
      <w:r>
        <w:rPr>
          <w:rFonts w:ascii="Calibri" w:hAnsi="Calibri"/>
          <w:color w:val="525866"/>
          <w:sz w:val="22"/>
        </w:rPr>
        <w:t>Sentiment reset to a low bar; the stock is now priced for continued deceleration, creating asymmetric upside if results surprise.</w:t>
      </w:r>
    </w:p>
    <w:p>
      <w:pPr>
        <w:pStyle w:val="ListBullet"/>
        <w:ind w:left="360" w:hanging="360"/>
      </w:pPr>
      <w:r>
        <w:rPr>
          <w:rFonts w:ascii="Calibri" w:hAnsi="Calibri"/>
          <w:b/>
          <w:color w:val="525866"/>
          <w:sz w:val="22"/>
        </w:rPr>
        <w:t>July 13, 2026 — Board Expansion:</w:t>
      </w:r>
      <w:r>
        <w:rPr>
          <w:rFonts w:ascii="Calibri" w:hAnsi="Calibri"/>
          <w:i/>
          <w:color w:val="525866"/>
          <w:sz w:val="22"/>
        </w:rPr>
        <w:t xml:space="preserve"> Penry Price appointed as Director and Compensation Committee Chair. Price brings 20+ years of ad industry experience including VP Marketing Solutions at LinkedIn, President at Dstillery, and VP Agency Sales at Google (key leader of the DoubleClick acquisition). Currently Co-Founder of 37Arc (AI workflow intelligence for marketing). </w:t>
      </w:r>
      <w:r>
        <w:rPr>
          <w:rFonts w:ascii="Calibri" w:hAnsi="Calibri"/>
          <w:b/>
          <w:color w:val="525866"/>
          <w:sz w:val="22"/>
        </w:rPr>
        <w:t xml:space="preserve">Implication: </w:t>
      </w:r>
      <w:r>
        <w:rPr>
          <w:rFonts w:ascii="Calibri" w:hAnsi="Calibri"/>
          <w:color w:val="525866"/>
          <w:sz w:val="22"/>
        </w:rPr>
        <w:t>Adds deep agency channel expertise to the board at a critical time for TTD’s agency relationships; LinkedIn background is relevant given TTD’s LinkedIn DSP partnership for B2B CTV data activation.</w:t>
      </w:r>
    </w:p>
    <w:p>
      <w:pPr>
        <w:pStyle w:val="ListBullet"/>
        <w:ind w:left="360" w:hanging="360"/>
      </w:pPr>
      <w:r>
        <w:rPr>
          <w:rFonts w:ascii="Calibri" w:hAnsi="Calibri"/>
          <w:b/>
          <w:color w:val="525866"/>
          <w:sz w:val="22"/>
        </w:rPr>
        <w:t>May 8, 2026 — CSO Departure:</w:t>
      </w:r>
      <w:r>
        <w:rPr>
          <w:rFonts w:ascii="Calibri" w:hAnsi="Calibri"/>
          <w:i/>
          <w:color w:val="525866"/>
          <w:sz w:val="22"/>
        </w:rPr>
        <w:t xml:space="preserve"> Chief Strategy Officer Samantha Jacobson formally resigned to join OpenAI, remaining on the TTD board as a Director. The departure was announced the same day as Q1 earnings, adding to leadership transition noise. </w:t>
      </w:r>
      <w:r>
        <w:rPr>
          <w:rFonts w:ascii="Calibri" w:hAnsi="Calibri"/>
          <w:b/>
          <w:color w:val="525866"/>
          <w:sz w:val="22"/>
        </w:rPr>
        <w:t xml:space="preserve">Implication: </w:t>
      </w:r>
      <w:r>
        <w:rPr>
          <w:rFonts w:ascii="Calibri" w:hAnsi="Calibri"/>
          <w:color w:val="525866"/>
          <w:sz w:val="22"/>
        </w:rPr>
        <w:t>Jacobson’s subsequent Form 4 filing (May 28) showed an open-market sale of 53,681 shares at ~$21/share — a discretionary sale shortly after her departure.</w:t>
      </w:r>
    </w:p>
    <w:p>
      <w:pPr>
        <w:pStyle w:val="ListBullet"/>
        <w:ind w:left="360" w:hanging="360"/>
      </w:pPr>
      <w:r>
        <w:rPr>
          <w:rFonts w:ascii="Calibri" w:hAnsi="Calibri"/>
          <w:b/>
          <w:color w:val="525866"/>
          <w:sz w:val="22"/>
        </w:rPr>
        <w:t>June 30, 2026 — Arete Research Downgrade to Strong Sell:</w:t>
      </w:r>
      <w:r>
        <w:rPr>
          <w:rFonts w:ascii="Calibri" w:hAnsi="Calibri"/>
          <w:i/>
          <w:color w:val="525866"/>
          <w:sz w:val="22"/>
        </w:rPr>
        <w:t xml:space="preserve"> Arete cut TTD to Strong Sell, citing concerns about market share losses and business model shifts. This was the most bearish call on the stock post-Q1 and contributed to the late-June selloff. </w:t>
      </w:r>
      <w:r>
        <w:rPr>
          <w:rFonts w:ascii="Calibri" w:hAnsi="Calibri"/>
          <w:b/>
          <w:color w:val="525866"/>
          <w:sz w:val="22"/>
        </w:rPr>
        <w:t xml:space="preserve">Implication: </w:t>
      </w:r>
      <w:r>
        <w:rPr>
          <w:rFonts w:ascii="Calibri" w:hAnsi="Calibri"/>
          <w:color w:val="525866"/>
          <w:sz w:val="22"/>
        </w:rPr>
        <w:t>Adds to the negative sentiment overhang; the bear case has shifted from cyclical to structural in some analyst views.</w:t>
      </w:r>
    </w:p>
    <w:p>
      <w:pPr>
        <w:pStyle w:val="ListBullet"/>
        <w:ind w:left="360" w:hanging="360"/>
      </w:pPr>
      <w:r>
        <w:rPr>
          <w:rFonts w:ascii="Calibri" w:hAnsi="Calibri"/>
          <w:b/>
          <w:color w:val="525866"/>
          <w:sz w:val="22"/>
        </w:rPr>
        <w:t>July 2026 — Russell Index Additions:</w:t>
      </w:r>
      <w:r>
        <w:rPr>
          <w:rFonts w:ascii="Calibri" w:hAnsi="Calibri"/>
          <w:i/>
          <w:color w:val="525866"/>
          <w:sz w:val="22"/>
        </w:rPr>
        <w:t xml:space="preserve"> TTD was added to several Russell value, growth, and broad market indexes, bringing passive fund buying and fresh investor attention. </w:t>
      </w:r>
      <w:r>
        <w:rPr>
          <w:rFonts w:ascii="Calibri" w:hAnsi="Calibri"/>
          <w:b/>
          <w:color w:val="525866"/>
          <w:sz w:val="22"/>
        </w:rPr>
        <w:t xml:space="preserve">Implication: </w:t>
      </w:r>
      <w:r>
        <w:rPr>
          <w:rFonts w:ascii="Calibri" w:hAnsi="Calibri"/>
          <w:color w:val="525866"/>
          <w:sz w:val="22"/>
        </w:rPr>
        <w:t>Provided technical support near the cycle low (~$16.79 on July 23); stock recovered to ~$19.34 by Aug 4.</w:t>
      </w:r>
    </w:p>
    <w:p>
      <w:pPr>
        <w:pStyle w:val="ListBullet"/>
        <w:ind w:left="360" w:hanging="360"/>
      </w:pPr>
      <w:r>
        <w:rPr>
          <w:rFonts w:ascii="Calibri" w:hAnsi="Calibri"/>
          <w:b/>
          <w:color w:val="525866"/>
          <w:sz w:val="22"/>
        </w:rPr>
        <w:t>July 8, 2026 — Invoca Partnership:</w:t>
      </w:r>
      <w:r>
        <w:rPr>
          <w:rFonts w:ascii="Calibri" w:hAnsi="Calibri"/>
          <w:i/>
          <w:color w:val="525866"/>
          <w:sz w:val="22"/>
        </w:rPr>
        <w:t xml:space="preserve"> TTD announced a no-code integration with Invoca to improve programmatic ad attribution, connecting ad spend to calls, conversions, and revenue. </w:t>
      </w:r>
      <w:r>
        <w:rPr>
          <w:rFonts w:ascii="Calibri" w:hAnsi="Calibri"/>
          <w:b/>
          <w:color w:val="525866"/>
          <w:sz w:val="22"/>
        </w:rPr>
        <w:t xml:space="preserve">Implication: </w:t>
      </w:r>
      <w:r>
        <w:rPr>
          <w:rFonts w:ascii="Calibri" w:hAnsi="Calibri"/>
          <w:color w:val="525866"/>
          <w:sz w:val="22"/>
        </w:rPr>
        <w:t>Incremental positive for TTD’s measurement and attribution narrative, which management has identified as a key unlock for the open internet.</w:t>
      </w:r>
    </w:p>
    <w:p>
      <w:pPr>
        <w:pStyle w:val="ListBullet"/>
        <w:ind w:left="360" w:hanging="360"/>
      </w:pPr>
      <w:r>
        <w:rPr>
          <w:rFonts w:ascii="Calibri" w:hAnsi="Calibri"/>
          <w:b/>
          <w:color w:val="525866"/>
          <w:sz w:val="22"/>
        </w:rPr>
        <w:t>Ongoing — Macro Headwinds (CPG, Tariffs):</w:t>
      </w:r>
      <w:r>
        <w:rPr>
          <w:rFonts w:ascii="Calibri" w:hAnsi="Calibri"/>
          <w:i/>
          <w:color w:val="525866"/>
          <w:sz w:val="22"/>
        </w:rPr>
        <w:t xml:space="preserve"> CPG (food and drink, home and garden) vertical remains under pressure from geopolitical uncertainty, consumer softness, and input cost inflation. Management flagged this as a key driver of Q2 deceleration on the Q1 call. Automotive has shifted to overall strength despite tariff headwinds. </w:t>
      </w:r>
      <w:r>
        <w:rPr>
          <w:rFonts w:ascii="Calibri" w:hAnsi="Calibri"/>
          <w:b/>
          <w:color w:val="525866"/>
          <w:sz w:val="22"/>
        </w:rPr>
        <w:t xml:space="preserve">Implication: </w:t>
      </w:r>
      <w:r>
        <w:rPr>
          <w:rFonts w:ascii="Calibri" w:hAnsi="Calibri"/>
          <w:color w:val="525866"/>
          <w:sz w:val="22"/>
        </w:rPr>
        <w:t>Any sign of CPG stabilization in Q2 commentary would be a meaningful positive; continued pressure would validate the bear case.</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The only notable insider transaction since Q1 earnings was a discretionary open-market sale by former CSO Samantha Jacobson shortly after her departure to OpenAI. No open-market purchases by current executives or directors have been filed — the absence of insider buying at these depressed price levels (~$17–$23 range) is a mild negative signal, though not alarming given the leadership transition context.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Jacobson, Samantha</w:t>
            </w:r>
          </w:p>
        </w:tc>
        <w:tc>
          <w:tcPr>
            <w:tcW w:type="dxa" w:w="1234"/>
          </w:tcPr>
          <w:p>
            <w:r>
              <w:rPr>
                <w:rFonts w:ascii="Calibri" w:hAnsi="Calibri"/>
                <w:sz w:val="22"/>
              </w:rPr>
              <w:t>Director (former CSO)</w:t>
            </w:r>
          </w:p>
        </w:tc>
        <w:tc>
          <w:tcPr>
            <w:tcW w:type="dxa" w:w="1234"/>
          </w:tcPr>
          <w:p>
            <w:r>
              <w:rPr>
                <w:rFonts w:ascii="Calibri" w:hAnsi="Calibri"/>
                <w:sz w:val="22"/>
              </w:rPr>
              <w:t>Open Market Sale</w:t>
            </w:r>
          </w:p>
        </w:tc>
        <w:tc>
          <w:tcPr>
            <w:tcW w:type="dxa" w:w="1234"/>
          </w:tcPr>
          <w:p>
            <w:r>
              <w:rPr>
                <w:rFonts w:ascii="Calibri" w:hAnsi="Calibri"/>
                <w:sz w:val="22"/>
              </w:rPr>
              <w:t>53,681</w:t>
            </w:r>
          </w:p>
        </w:tc>
        <w:tc>
          <w:tcPr>
            <w:tcW w:type="dxa" w:w="1234"/>
          </w:tcPr>
          <w:p>
            <w:r>
              <w:rPr>
                <w:rFonts w:ascii="Calibri" w:hAnsi="Calibri"/>
                <w:sz w:val="22"/>
              </w:rPr>
              <w:t>~$1.1M (est. ~$21/share)</w:t>
            </w:r>
          </w:p>
        </w:tc>
        <w:tc>
          <w:tcPr>
            <w:tcW w:type="dxa" w:w="1234"/>
          </w:tcPr>
          <w:p>
            <w:r>
              <w:rPr>
                <w:rFonts w:ascii="Calibri" w:hAnsi="Calibri"/>
                <w:sz w:val="22"/>
              </w:rPr>
              <w:t>May 28, 2026</w:t>
            </w:r>
          </w:p>
        </w:tc>
        <w:tc>
          <w:tcPr>
            <w:tcW w:type="dxa" w:w="1234"/>
          </w:tcPr>
          <w:p>
            <w:r>
              <w:rPr>
                <w:rFonts w:ascii="Calibri" w:hAnsi="Calibri"/>
                <w:sz w:val="22"/>
              </w:rPr>
              <w:t>Discretionary sale; filed June 1, 2026. Jacobson departed as CSO on May 8 to join OpenAI; remains on board as Director. Sale occurred ~3 weeks post-departure. Not flagged as 10b5-1 plan.</w:t>
            </w:r>
          </w:p>
        </w:tc>
      </w:tr>
    </w:tbl>
    <w:p>
      <w:r>
        <w:rPr>
          <w:rFonts w:ascii="Calibri" w:hAnsi="Calibri"/>
          <w:b/>
          <w:color w:val="525866"/>
          <w:sz w:val="22"/>
        </w:rPr>
        <w:t xml:space="preserve">Note: </w:t>
      </w:r>
      <w:r>
        <w:rPr>
          <w:rFonts w:ascii="Calibri" w:hAnsi="Calibri"/>
          <w:color w:val="525866"/>
          <w:sz w:val="22"/>
        </w:rPr>
        <w:t>Only open-market buys and sells (Form 4 codes P/S) are included. No open-market purchases by current executives or directors were identified in the period from May 7 to August 5, 2026. The absence of insider buying at prices 30–40% below the stock’s 52-week high is notable but not unusual given the ongoing leadership transition and macro uncertainty.</w:t>
      </w:r>
    </w:p>
    <w:p>
      <w:r>
        <w:rPr>
          <w:rFonts w:ascii="Calibri" w:hAnsi="Calibri"/>
          <w:color w:val="525866"/>
          <w:sz w:val="22"/>
        </w:rPr>
        <w:t>Source: SEC Form 4 Filings Database.</w:t>
      </w:r>
    </w:p>
    <w:p>
      <w:r>
        <w:br w:type="page"/>
      </w:r>
    </w:p>
    <w:p>
      <w:pPr>
        <w:pStyle w:val="Heading1"/>
        <w:pBdr>
          <w:bottom w:val="single" w:sz="4" w:space="1" w:color="FB9120"/>
        </w:pBdr>
      </w:pPr>
      <w:r>
        <w:rPr>
          <w:rFonts w:ascii="Calibri" w:hAnsi="Calibri"/>
          <w:b/>
          <w:color w:val="3B4259"/>
          <w:sz w:val="40"/>
        </w:rPr>
        <w:t>8. Peer Commentaries — Q2 2026 Read-Through</w:t>
      </w:r>
    </w:p>
    <w:p>
      <w:r>
        <w:rPr>
          <w:rFonts w:ascii="Calibri" w:hAnsi="Calibri"/>
          <w:b/>
          <w:color w:val="525866"/>
          <w:sz w:val="22"/>
        </w:rPr>
        <w:t xml:space="preserve">Key Takeaway: </w:t>
      </w:r>
      <w:r>
        <w:rPr>
          <w:rFonts w:ascii="Calibri" w:hAnsi="Calibri"/>
          <w:color w:val="525866"/>
          <w:sz w:val="22"/>
        </w:rPr>
        <w:t>Peer commentary from Q2 2026 (May–August 2026) is broadly constructive for TTD — CTV programmatic adoption is accelerating, the ad market is healthy, and the secular shift from linear to streaming is intact. Magnite’s Q2 2026 beat (reported August 5) is the most direct positive read-through, with CTV growing 36% YoY and the company significantly exceeding consensus. The key risk read-through is that Fortune 1000 brand advertiser budgets remain stagnant (PubMatic, Roku), which is directly relevant to TTD’s large-brand-focused revenue base.</w:t>
      </w:r>
    </w:p>
    <w:p>
      <w:r>
        <w:rPr>
          <w:rFonts w:ascii="Calibri" w:hAnsi="Calibri"/>
          <w:i/>
          <w:color w:val="525866"/>
          <w:sz w:val="22"/>
        </w:rPr>
        <w:t xml:space="preserve">Note: </w:t>
      </w:r>
      <w:r>
        <w:rPr>
          <w:rFonts w:ascii="Calibri" w:hAnsi="Calibri"/>
          <w:i/>
          <w:color w:val="525866"/>
          <w:sz w:val="22"/>
        </w:rPr>
        <w:t xml:space="preserve"> Only commentary from May 2026 onward (post-TTD Q1 earnings) is included, covering the current Q2 2026 reporting period. Prior-quarter earnings results from peers are excluded; only forward-looking commentary about Q2 2026 conditions and conference commentary about current market dynamics are included.</w:t>
      </w:r>
    </w:p>
    <w:p>
      <w:pPr>
        <w:pStyle w:val="Heading2"/>
      </w:pPr>
      <w:r>
        <w:rPr>
          <w:rFonts w:ascii="Calibri" w:hAnsi="Calibri"/>
          <w:b/>
          <w:color w:val="3B4259"/>
          <w:sz w:val="28"/>
        </w:rPr>
        <w:t>Magnite (MGNI) — Q2 2026 Earnings (Reported August 5, 2026) — MOST DIRECT READ-THROUGH</w:t>
      </w:r>
    </w:p>
    <w:p>
      <w:r>
        <w:rPr>
          <w:rFonts w:ascii="Calibri" w:hAnsi="Calibri"/>
          <w:b/>
          <w:color w:val="525866"/>
          <w:sz w:val="22"/>
        </w:rPr>
        <w:t xml:space="preserve">Signal: </w:t>
      </w:r>
      <w:r>
        <w:rPr>
          <w:rFonts w:ascii="Calibri" w:hAnsi="Calibri"/>
          <w:b/>
          <w:color w:val="30A46C"/>
          <w:sz w:val="22"/>
        </w:rPr>
        <w:t>Strongly Positive</w:t>
      </w:r>
      <w:r>
        <w:rPr>
          <w:rFonts w:ascii="Calibri" w:hAnsi="Calibri"/>
          <w:color w:val="525866"/>
          <w:sz w:val="22"/>
        </w:rPr>
        <w:t>. Magnite reported an “outstanding Q2” with total contribution ex-TAC of $190M (+17% YoY), significantly exceeding consensus by ~$10M. CTV grew 36% YoY and contributed $97M, well above guidance of $90–92M. Adjusted EBITDA exceeded consensus by $8M at a 37% margin. The company cited “important inflection point as programmatic becomes the desired way to transact on streaming television.”</w:t>
      </w:r>
    </w:p>
    <w:p>
      <w:pPr>
        <w:pStyle w:val="ListBullet"/>
        <w:ind w:left="360" w:hanging="360"/>
      </w:pPr>
      <w:r>
        <w:rPr>
          <w:rFonts w:ascii="Calibri" w:hAnsi="Calibri"/>
          <w:b/>
          <w:color w:val="525866"/>
          <w:sz w:val="22"/>
        </w:rPr>
        <w:t xml:space="preserve">CTV at inflection point: </w:t>
      </w:r>
      <w:r>
        <w:rPr>
          <w:rFonts w:ascii="Calibri" w:hAnsi="Calibri"/>
          <w:color w:val="525866"/>
          <w:sz w:val="22"/>
        </w:rPr>
        <w:t>Magnite’s top-10 CTV accounts grew “mid-to-high 40% range year over year,” with growth driven by greater programmatic adoption (now “table stakes” in upfronts) and publishers’ willingness to bring in demand from DSPs they don’t have direct relationships with. This is a direct positive for TTD as the leading DSP — more programmatic CTV supply means more inventory for TTD buyers.</w:t>
      </w:r>
    </w:p>
    <w:p>
      <w:pPr>
        <w:pStyle w:val="ListBullet"/>
        <w:ind w:left="360" w:hanging="360"/>
      </w:pPr>
      <w:r>
        <w:rPr>
          <w:rFonts w:ascii="Calibri" w:hAnsi="Calibri"/>
          <w:b/>
          <w:color w:val="525866"/>
          <w:sz w:val="22"/>
        </w:rPr>
        <w:t xml:space="preserve">Disney cited international programmatic growth: </w:t>
      </w:r>
      <w:r>
        <w:rPr>
          <w:rFonts w:ascii="Calibri" w:hAnsi="Calibri"/>
          <w:color w:val="525866"/>
          <w:sz w:val="22"/>
        </w:rPr>
        <w:t>Magnite noted that “Disney’s earnings cited international growing faster in the programmatic bucket” — a direct read-through for TTD’s international revenue, which grew to ~18% of revenue in Q1 2026.</w:t>
      </w:r>
    </w:p>
    <w:p>
      <w:pPr>
        <w:pStyle w:val="ListBullet"/>
        <w:ind w:left="360" w:hanging="360"/>
      </w:pPr>
      <w:r>
        <w:rPr>
          <w:rFonts w:ascii="Calibri" w:hAnsi="Calibri"/>
          <w:b/>
          <w:color w:val="525866"/>
          <w:sz w:val="22"/>
        </w:rPr>
        <w:t xml:space="preserve">Macro conservatism maintained: </w:t>
      </w:r>
      <w:r>
        <w:rPr>
          <w:rFonts w:ascii="Calibri" w:hAnsi="Calibri"/>
          <w:color w:val="525866"/>
          <w:sz w:val="22"/>
        </w:rPr>
        <w:t>Magnite guided Q3 CTV contribution of $98–100M (29–32% growth), citing “some conservatism” around “stubborn inflation and volatile energy prices and related geopolitical challenges.” This mirrors TTD’s own macro caution and suggests the ad market is healthy but not immune to macro risk.</w:t>
      </w:r>
    </w:p>
    <w:p>
      <w:pPr>
        <w:pStyle w:val="ListBullet"/>
        <w:ind w:left="360" w:hanging="360"/>
      </w:pPr>
      <w:r>
        <w:rPr>
          <w:rFonts w:ascii="Calibri" w:hAnsi="Calibri"/>
          <w:b/>
          <w:color w:val="525866"/>
          <w:sz w:val="22"/>
        </w:rPr>
        <w:t xml:space="preserve">Agentic AI in early stages: </w:t>
      </w:r>
      <w:r>
        <w:rPr>
          <w:rFonts w:ascii="Calibri" w:hAnsi="Calibri"/>
          <w:color w:val="525866"/>
          <w:sz w:val="22"/>
        </w:rPr>
        <w:t>Magnite transacted “a handful of millions of dollars” in agentic advertising to date, with all transactions involving publishers using Magnite’s seller agent. Expects it to be “much bigger” next year but “not the majority of overall spend.” Consistent with TTD’s own framing of agentic AI as a multi-year opportunity.</w:t>
      </w:r>
    </w:p>
    <w:p>
      <w:pPr>
        <w:pStyle w:val="ListBullet"/>
        <w:ind w:left="360" w:hanging="360"/>
      </w:pPr>
      <w:r>
        <w:rPr>
          <w:rFonts w:ascii="Calibri" w:hAnsi="Calibri"/>
          <w:b/>
          <w:color w:val="525866"/>
          <w:sz w:val="22"/>
        </w:rPr>
        <w:t xml:space="preserve">Automotive returned to growth: </w:t>
      </w:r>
      <w:r>
        <w:rPr>
          <w:rFonts w:ascii="Calibri" w:hAnsi="Calibri"/>
          <w:color w:val="525866"/>
          <w:sz w:val="22"/>
        </w:rPr>
        <w:t>Magnite noted “automotive, our top declining category in Q1 2026, has returned to growth but remains depressed.” This is a mild positive read-through for TTD, which also flagged auto as showing overall strength in Q1.</w:t>
      </w:r>
    </w:p>
    <w:p>
      <w:r>
        <w:rPr>
          <w:rFonts w:ascii="Calibri" w:hAnsi="Calibri"/>
          <w:color w:val="525866"/>
          <w:sz w:val="22"/>
        </w:rPr>
        <w:t>Source: Magnite Q2 2026 Earnings Call Transcript (August 5, 2026).</w:t>
      </w:r>
    </w:p>
    <w:p>
      <w:pPr>
        <w:pStyle w:val="Heading2"/>
      </w:pPr>
      <w:r>
        <w:rPr>
          <w:rFonts w:ascii="Calibri" w:hAnsi="Calibri"/>
          <w:b/>
          <w:color w:val="3B4259"/>
          <w:sz w:val="28"/>
        </w:rPr>
        <w:t>Magnite (MGNI) — Roth Capital Partners AdTech Summit (June 15, 2026)</w:t>
      </w:r>
    </w:p>
    <w:p>
      <w:r>
        <w:rPr>
          <w:rFonts w:ascii="Calibri" w:hAnsi="Calibri"/>
          <w:b/>
          <w:color w:val="525866"/>
          <w:sz w:val="22"/>
        </w:rPr>
        <w:t xml:space="preserve">Signal: </w:t>
      </w:r>
      <w:r>
        <w:rPr>
          <w:rFonts w:ascii="Calibri" w:hAnsi="Calibri"/>
          <w:b/>
          <w:color w:val="30A46C"/>
          <w:sz w:val="22"/>
        </w:rPr>
        <w:t>Positive</w:t>
      </w:r>
      <w:r>
        <w:rPr>
          <w:rFonts w:ascii="Calibri" w:hAnsi="Calibri"/>
          <w:color w:val="525866"/>
          <w:sz w:val="22"/>
        </w:rPr>
        <w:t>. Magnite management described the Q2 ad market as one where investors are “not very worried about any recession or macro softness in online advertising.” CTV crossed 50% of Magnite’s revenue mix in Q1 and is growing in the 30s%, with the slowest-growing CTV customers seeing 2x market growth and fastest-growing at 3x.</w:t>
      </w:r>
    </w:p>
    <w:p>
      <w:pPr>
        <w:pStyle w:val="ListBullet"/>
        <w:ind w:left="360" w:hanging="360"/>
      </w:pPr>
      <w:r>
        <w:rPr>
          <w:rFonts w:ascii="Calibri" w:hAnsi="Calibri"/>
          <w:b/>
          <w:color w:val="525866"/>
          <w:sz w:val="22"/>
        </w:rPr>
        <w:t xml:space="preserve">Sports programmatic is a new growth driver: </w:t>
      </w:r>
      <w:r>
        <w:rPr>
          <w:rFonts w:ascii="Calibri" w:hAnsi="Calibri"/>
          <w:color w:val="525866"/>
          <w:sz w:val="22"/>
        </w:rPr>
        <w:t>NBC moved the Olympics to programmatic; ESPN integrated with the Disney ad server and opened to the programmatic tech stack. Sports represents 40% of all TV ad dollars and has historically had zero programmatic dollars — this is a significant TAM expansion for DSPs like TTD.</w:t>
      </w:r>
    </w:p>
    <w:p>
      <w:pPr>
        <w:pStyle w:val="ListBullet"/>
        <w:ind w:left="360" w:hanging="360"/>
      </w:pPr>
      <w:r>
        <w:rPr>
          <w:rFonts w:ascii="Calibri" w:hAnsi="Calibri"/>
          <w:b/>
          <w:color w:val="525866"/>
          <w:sz w:val="22"/>
        </w:rPr>
        <w:t xml:space="preserve">~90% of CTV inventory now programmatically executed: </w:t>
      </w:r>
      <w:r>
        <w:rPr>
          <w:rFonts w:ascii="Calibri" w:hAnsi="Calibri"/>
          <w:color w:val="525866"/>
          <w:sz w:val="22"/>
        </w:rPr>
        <w:t>Magnite noted that “we are probably 90% programmatically executed inventory in CTV now,” up from much lower levels. This validates TTD’s CTV growth thesis.</w:t>
      </w:r>
    </w:p>
    <w:p>
      <w:pPr>
        <w:pStyle w:val="ListBullet"/>
        <w:ind w:left="360" w:hanging="360"/>
      </w:pPr>
      <w:r>
        <w:rPr>
          <w:rFonts w:ascii="Calibri" w:hAnsi="Calibri"/>
          <w:b/>
          <w:color w:val="525866"/>
          <w:sz w:val="22"/>
        </w:rPr>
        <w:t xml:space="preserve">AI driving margin expansion: </w:t>
      </w:r>
      <w:r>
        <w:rPr>
          <w:rFonts w:ascii="Calibri" w:hAnsi="Calibri"/>
          <w:color w:val="525866"/>
          <w:sz w:val="22"/>
        </w:rPr>
        <w:t>Magnite discussed AI as a “margin enhancement” even without raising prices, with internal discussion that AI could help achieve 45–50% EBITDA margins faster than anticipated. Relevant for TTD’s own ≥40% margin target.</w:t>
      </w:r>
    </w:p>
    <w:p>
      <w:pPr>
        <w:pStyle w:val="ListBullet"/>
        <w:ind w:left="360" w:hanging="360"/>
      </w:pPr>
      <w:r>
        <w:rPr>
          <w:rFonts w:ascii="Calibri" w:hAnsi="Calibri"/>
          <w:b/>
          <w:color w:val="525866"/>
          <w:sz w:val="22"/>
        </w:rPr>
        <w:t xml:space="preserve">Google antitrust remedy frustration: </w:t>
      </w:r>
      <w:r>
        <w:rPr>
          <w:rFonts w:ascii="Calibri" w:hAnsi="Calibri"/>
          <w:color w:val="525866"/>
          <w:sz w:val="22"/>
        </w:rPr>
        <w:t>Magnite expressed frustration at the lack of progress on Google monopoly remedies, noting “nothing has happened in the last six months.” A behavioral remedy requiring Google’s ad server to treat all exchanges equally “could happen very, very quickly in terms of market share redistribution” — a potential upside catalyst for the open internet broadly, including TTD.</w:t>
      </w:r>
    </w:p>
    <w:p>
      <w:pPr>
        <w:pStyle w:val="ListBullet"/>
        <w:ind w:left="360" w:hanging="360"/>
      </w:pPr>
      <w:r>
        <w:rPr>
          <w:rFonts w:ascii="Calibri" w:hAnsi="Calibri"/>
          <w:b/>
          <w:color w:val="525866"/>
          <w:sz w:val="22"/>
        </w:rPr>
        <w:t xml:space="preserve">Netflix is a “phenomenal partner”: </w:t>
      </w:r>
      <w:r>
        <w:rPr>
          <w:rFonts w:ascii="Calibri" w:hAnsi="Calibri"/>
          <w:color w:val="525866"/>
          <w:sz w:val="22"/>
        </w:rPr>
        <w:t>Netflix outperformed Magnite’s expectations and was one of their largest CTV customers. Netflix’s continued programmatic expansion is a positive for TTD as a key DSP partner.</w:t>
      </w:r>
    </w:p>
    <w:p>
      <w:r>
        <w:rPr>
          <w:rFonts w:ascii="Calibri" w:hAnsi="Calibri"/>
          <w:color w:val="525866"/>
          <w:sz w:val="22"/>
        </w:rPr>
        <w:t>Source: Magnite at Roth Capital Partners AdTech Summit Transcript (June 15, 2026).</w:t>
      </w:r>
    </w:p>
    <w:p>
      <w:pPr>
        <w:pStyle w:val="Heading2"/>
      </w:pPr>
      <w:r>
        <w:rPr>
          <w:rFonts w:ascii="Calibri" w:hAnsi="Calibri"/>
          <w:b/>
          <w:color w:val="3B4259"/>
          <w:sz w:val="28"/>
        </w:rPr>
        <w:t>Magnite (MGNI) — Evercore TMT Global Conference (June 3, 2026)</w:t>
      </w:r>
    </w:p>
    <w:p>
      <w:r>
        <w:rPr>
          <w:rFonts w:ascii="Calibri" w:hAnsi="Calibri"/>
          <w:b/>
          <w:color w:val="525866"/>
          <w:sz w:val="22"/>
        </w:rPr>
        <w:t xml:space="preserve">Signal: </w:t>
      </w:r>
      <w:r>
        <w:rPr>
          <w:rFonts w:ascii="Calibri" w:hAnsi="Calibri"/>
          <w:b/>
          <w:color w:val="30A46C"/>
          <w:sz w:val="22"/>
        </w:rPr>
        <w:t>Positive</w:t>
      </w:r>
      <w:r>
        <w:rPr>
          <w:rFonts w:ascii="Calibri" w:hAnsi="Calibri"/>
          <w:color w:val="525866"/>
          <w:sz w:val="22"/>
        </w:rPr>
        <w:t>. Magnite described the Q2 upfronts and Newfronts as a “very, very strong start to the season,” especially led by live TV and live sports. Political spending expected to grow 10–20% vs. the prior midterm, with 90% of political spend concentrated in September–October — a Q3/Q4 tailwind.</w:t>
      </w:r>
    </w:p>
    <w:p>
      <w:pPr>
        <w:pStyle w:val="ListBullet"/>
        <w:ind w:left="360" w:hanging="360"/>
      </w:pPr>
      <w:r>
        <w:rPr>
          <w:rFonts w:ascii="Calibri" w:hAnsi="Calibri"/>
          <w:b/>
          <w:color w:val="525866"/>
          <w:sz w:val="22"/>
        </w:rPr>
        <w:t xml:space="preserve">Upfronts signal strong H2: </w:t>
      </w:r>
      <w:r>
        <w:rPr>
          <w:rFonts w:ascii="Calibri" w:hAnsi="Calibri"/>
          <w:color w:val="525866"/>
          <w:sz w:val="22"/>
        </w:rPr>
        <w:t>Magnite called upfronts/Newfronts “a very, very good indicator of the strength and health of the market.” Strong upfront commitments are a positive leading indicator for TTD’s H2 2026 revenue, particularly in CTV.</w:t>
      </w:r>
    </w:p>
    <w:p>
      <w:pPr>
        <w:pStyle w:val="ListBullet"/>
        <w:ind w:left="360" w:hanging="360"/>
      </w:pPr>
      <w:r>
        <w:rPr>
          <w:rFonts w:ascii="Calibri" w:hAnsi="Calibri"/>
          <w:b/>
          <w:color w:val="525866"/>
          <w:sz w:val="22"/>
        </w:rPr>
        <w:t xml:space="preserve">Programmatic CTV growing 25–30% YoY: </w:t>
      </w:r>
      <w:r>
        <w:rPr>
          <w:rFonts w:ascii="Calibri" w:hAnsi="Calibri"/>
          <w:color w:val="525866"/>
          <w:sz w:val="22"/>
        </w:rPr>
        <w:t>Magnite described this growth rate as “very sustainable and the new normal,” with the underlying programmatic CTV business growing 38% YoY in Q1 (ex-managed service). This is a strong read-through for TTD’s CTV channel, which management described as growing faster than the overall business.</w:t>
      </w:r>
    </w:p>
    <w:p>
      <w:pPr>
        <w:pStyle w:val="ListBullet"/>
        <w:ind w:left="360" w:hanging="360"/>
      </w:pPr>
      <w:r>
        <w:rPr>
          <w:rFonts w:ascii="Calibri" w:hAnsi="Calibri"/>
          <w:b/>
          <w:color w:val="525866"/>
          <w:sz w:val="22"/>
        </w:rPr>
        <w:t xml:space="preserve">Disney targeting 50% programmatic by year-end: </w:t>
      </w:r>
      <w:r>
        <w:rPr>
          <w:rFonts w:ascii="Calibri" w:hAnsi="Calibri"/>
          <w:color w:val="525866"/>
          <w:sz w:val="22"/>
        </w:rPr>
        <w:t>Disney has a “stated goal of 50% of their activity being run programmatically by the end of this year, if not higher.” As a key TTD supply partner, Disney’s programmatic push directly benefits TTD buyers.</w:t>
      </w:r>
    </w:p>
    <w:p>
      <w:pPr>
        <w:pStyle w:val="ListBullet"/>
        <w:ind w:left="360" w:hanging="360"/>
      </w:pPr>
      <w:r>
        <w:rPr>
          <w:rFonts w:ascii="Calibri" w:hAnsi="Calibri"/>
          <w:b/>
          <w:color w:val="525866"/>
          <w:sz w:val="22"/>
        </w:rPr>
        <w:t xml:space="preserve">Commerce media data shifting to sell-side: </w:t>
      </w:r>
      <w:r>
        <w:rPr>
          <w:rFonts w:ascii="Calibri" w:hAnsi="Calibri"/>
          <w:color w:val="525866"/>
          <w:sz w:val="22"/>
        </w:rPr>
        <w:t>Walmart (post-Vizio acquisition) is moving first-party data from being “captive within one DSP” to being managed by SSPs, enabling access across multiple DSPs. This is a nuanced read-through — it could reduce TTD’s data advantage if retail data becomes more broadly accessible, but also expands the addressable inventory for TTD buyers.</w:t>
      </w:r>
    </w:p>
    <w:p>
      <w:r>
        <w:rPr>
          <w:rFonts w:ascii="Calibri" w:hAnsi="Calibri"/>
          <w:color w:val="525866"/>
          <w:sz w:val="22"/>
        </w:rPr>
        <w:t>Source: Magnite at Evercore TMT Global Conference Transcript (June 3, 2026).</w:t>
      </w:r>
    </w:p>
    <w:p>
      <w:pPr>
        <w:pStyle w:val="Heading2"/>
      </w:pPr>
      <w:r>
        <w:rPr>
          <w:rFonts w:ascii="Calibri" w:hAnsi="Calibri"/>
          <w:b/>
          <w:color w:val="3B4259"/>
          <w:sz w:val="28"/>
        </w:rPr>
        <w:t>Magnite (MGNI) — Needham Technology, Media &amp; Consumer Conference (May 13, 2026)</w:t>
      </w:r>
    </w:p>
    <w:p>
      <w:r>
        <w:rPr>
          <w:rFonts w:ascii="Calibri" w:hAnsi="Calibri"/>
          <w:b/>
          <w:color w:val="525866"/>
          <w:sz w:val="22"/>
        </w:rPr>
        <w:t xml:space="preserve">Signal: </w:t>
      </w:r>
      <w:r>
        <w:rPr>
          <w:rFonts w:ascii="Calibri" w:hAnsi="Calibri"/>
          <w:b/>
          <w:color w:val="30A46C"/>
          <w:sz w:val="22"/>
        </w:rPr>
        <w:t>Positive</w:t>
      </w:r>
      <w:r>
        <w:rPr>
          <w:rFonts w:ascii="Calibri" w:hAnsi="Calibri"/>
          <w:color w:val="525866"/>
          <w:sz w:val="22"/>
        </w:rPr>
        <w:t>. Magnite described CTV as growing 30% in Q1 and streaming as a “winner take most business.” March Madness grew over 80% YoY for Magnite. Live sports programmatic is accelerating with FIFA (on Tubi, all programmatic) and fall sports season now digital-ad-insertion capable.</w:t>
      </w:r>
    </w:p>
    <w:p>
      <w:pPr>
        <w:pStyle w:val="ListBullet"/>
        <w:ind w:left="360" w:hanging="360"/>
      </w:pPr>
      <w:r>
        <w:rPr>
          <w:rFonts w:ascii="Calibri" w:hAnsi="Calibri"/>
          <w:b/>
          <w:color w:val="525866"/>
          <w:sz w:val="22"/>
        </w:rPr>
        <w:t xml:space="preserve">Agentic AI lowering DSP barriers to entry: </w:t>
      </w:r>
      <w:r>
        <w:rPr>
          <w:rFonts w:ascii="Calibri" w:hAnsi="Calibri"/>
          <w:color w:val="525866"/>
          <w:sz w:val="22"/>
        </w:rPr>
        <w:t>Magnite noted a “resurgence of DSPs” as agentic AI lowers barriers to entry, but questioned whether new buyer agents can displace established DSPs like TTD that have existing commercial relationships. This is a nuanced risk for TTD — new entrants could fragment the DSP market, but TTD’s scale and data moat provide a significant advantage.</w:t>
      </w:r>
    </w:p>
    <w:p>
      <w:pPr>
        <w:pStyle w:val="ListBullet"/>
        <w:ind w:left="360" w:hanging="360"/>
      </w:pPr>
      <w:r>
        <w:rPr>
          <w:rFonts w:ascii="Calibri" w:hAnsi="Calibri"/>
          <w:b/>
          <w:color w:val="525866"/>
          <w:sz w:val="22"/>
        </w:rPr>
        <w:t xml:space="preserve">Commerce media data moving to sell-side: </w:t>
      </w:r>
      <w:r>
        <w:rPr>
          <w:rFonts w:ascii="Calibri" w:hAnsi="Calibri"/>
          <w:color w:val="525866"/>
          <w:sz w:val="22"/>
        </w:rPr>
        <w:t>United Airlines, Pinterest, and PayPal are keeping their audience segments on the sell-side (SSP) rather than within a single DSP, allowing advertisers to use any DSP. This is a structural shift that could reduce TTD’s data advantage but also expands the universe of targetable inventory for TTD buyers.</w:t>
      </w:r>
    </w:p>
    <w:p>
      <w:pPr>
        <w:pStyle w:val="ListBullet"/>
        <w:ind w:left="360" w:hanging="360"/>
      </w:pPr>
      <w:r>
        <w:rPr>
          <w:rFonts w:ascii="Calibri" w:hAnsi="Calibri"/>
          <w:b/>
          <w:color w:val="525866"/>
          <w:sz w:val="22"/>
        </w:rPr>
        <w:t xml:space="preserve">Open internet supply path optimization largely complete: </w:t>
      </w:r>
      <w:r>
        <w:rPr>
          <w:rFonts w:ascii="Calibri" w:hAnsi="Calibri"/>
          <w:color w:val="525866"/>
          <w:sz w:val="22"/>
        </w:rPr>
        <w:t>Magnite noted SPO has consolidated the SSP market from 200+ to “5 or 6 that matter,” with take rates “amazingly stable for a very long period of time.” This is a positive for the open internet ecosystem stability.</w:t>
      </w:r>
    </w:p>
    <w:p>
      <w:r>
        <w:rPr>
          <w:rFonts w:ascii="Calibri" w:hAnsi="Calibri"/>
          <w:color w:val="525866"/>
          <w:sz w:val="22"/>
        </w:rPr>
        <w:t>Source: Magnite at Needham Technology, Media &amp; Consumer Conference Transcript (May 13, 2026).</w:t>
      </w:r>
    </w:p>
    <w:p>
      <w:pPr>
        <w:pStyle w:val="Heading2"/>
      </w:pPr>
      <w:r>
        <w:rPr>
          <w:rFonts w:ascii="Calibri" w:hAnsi="Calibri"/>
          <w:b/>
          <w:color w:val="3B4259"/>
          <w:sz w:val="28"/>
        </w:rPr>
        <w:t>PubMatic (PUBM) — Q1 2026 Earnings Call (May 7, 2026) — Q2 2026 Outlook</w:t>
      </w:r>
    </w:p>
    <w:p>
      <w:r>
        <w:rPr>
          <w:rFonts w:ascii="Calibri" w:hAnsi="Calibri"/>
          <w:b/>
          <w:color w:val="525866"/>
          <w:sz w:val="22"/>
        </w:rPr>
        <w:t xml:space="preserve">Signal: </w:t>
      </w:r>
      <w:r>
        <w:rPr>
          <w:rFonts w:ascii="Calibri" w:hAnsi="Calibri"/>
          <w:b/>
          <w:color w:val="525866"/>
          <w:sz w:val="22"/>
        </w:rPr>
        <w:t>Mixed</w:t>
      </w:r>
      <w:r>
        <w:rPr>
          <w:rFonts w:ascii="Calibri" w:hAnsi="Calibri"/>
          <w:color w:val="525866"/>
          <w:sz w:val="22"/>
        </w:rPr>
        <w:t>. PubMatic guided Q2 2026 revenue of $68–70M (single-digit growth ex-legacy DSP impact), with April described as “stable, healthy” and more than half of ad verticals growing. The macro environment is “cautiously optimistic.” However, Fortune 1000 brand advertiser budgets are “pretty stagnant,” which is a direct negative read-through for TTD’s large-brand-focused revenue base.</w:t>
      </w:r>
    </w:p>
    <w:p>
      <w:pPr>
        <w:pStyle w:val="ListBullet"/>
        <w:ind w:left="360" w:hanging="360"/>
      </w:pPr>
      <w:r>
        <w:rPr>
          <w:rFonts w:ascii="Calibri" w:hAnsi="Calibri"/>
          <w:b/>
          <w:color w:val="525866"/>
          <w:sz w:val="22"/>
        </w:rPr>
        <w:t xml:space="preserve">Fortune 1000 ad budgets stagnant: </w:t>
      </w:r>
      <w:r>
        <w:rPr>
          <w:rFonts w:ascii="Calibri" w:hAnsi="Calibri"/>
          <w:color w:val="525866"/>
          <w:sz w:val="22"/>
        </w:rPr>
        <w:t>PubMatic explicitly noted that “Fortune 1000 advertisers, many of them large enterprises, their incumbent brands, their ad budgets are pretty stagnant in many cases.” TTD derives most of its revenue from Fortune 500 companies and their brands — this is a direct negative read-through for TTD’s near-term growth.</w:t>
      </w:r>
    </w:p>
    <w:p>
      <w:pPr>
        <w:pStyle w:val="ListBullet"/>
        <w:ind w:left="360" w:hanging="360"/>
      </w:pPr>
      <w:r>
        <w:rPr>
          <w:rFonts w:ascii="Calibri" w:hAnsi="Calibri"/>
          <w:b/>
          <w:color w:val="525866"/>
          <w:sz w:val="22"/>
        </w:rPr>
        <w:t xml:space="preserve">Mid-market DSPs growing 20%+ YoY: </w:t>
      </w:r>
      <w:r>
        <w:rPr>
          <w:rFonts w:ascii="Calibri" w:hAnsi="Calibri"/>
          <w:color w:val="525866"/>
          <w:sz w:val="22"/>
        </w:rPr>
        <w:t>PubMatic’s mid-market and performance DSP activity grew over 20% YoY in Q1, with 50+ new DSPs added in the last year. This suggests the DSP market is fragmenting, which could be a headwind for TTD’s market share concentration.</w:t>
      </w:r>
    </w:p>
    <w:p>
      <w:pPr>
        <w:pStyle w:val="ListBullet"/>
        <w:ind w:left="360" w:hanging="360"/>
      </w:pPr>
      <w:r>
        <w:rPr>
          <w:rFonts w:ascii="Calibri" w:hAnsi="Calibri"/>
          <w:b/>
          <w:color w:val="525866"/>
          <w:sz w:val="22"/>
        </w:rPr>
        <w:t xml:space="preserve">CTV strength led by Americas: </w:t>
      </w:r>
      <w:r>
        <w:rPr>
          <w:rFonts w:ascii="Calibri" w:hAnsi="Calibri"/>
          <w:color w:val="525866"/>
          <w:sz w:val="22"/>
        </w:rPr>
        <w:t>PubMatic’s CTV revenues grew 13% YoY in Q1 (18% ex-legacy DSP), with Americas representing ~80% of CTV revenue. FIFA World Cup expected to bring 100M+ high-value impressions per day. Positive for TTD’s CTV channel.</w:t>
      </w:r>
    </w:p>
    <w:p>
      <w:pPr>
        <w:pStyle w:val="ListBullet"/>
        <w:ind w:left="360" w:hanging="360"/>
      </w:pPr>
      <w:r>
        <w:rPr>
          <w:rFonts w:ascii="Calibri" w:hAnsi="Calibri"/>
          <w:b/>
          <w:color w:val="525866"/>
          <w:sz w:val="22"/>
        </w:rPr>
        <w:t xml:space="preserve">AI leveling the playing field: </w:t>
      </w:r>
      <w:r>
        <w:rPr>
          <w:rFonts w:ascii="Calibri" w:hAnsi="Calibri"/>
          <w:color w:val="525866"/>
          <w:sz w:val="22"/>
        </w:rPr>
        <w:t>PubMatic stated “AI is leveling the playing field between walled gardens and the open internet,” with capabilities like efficiency, lower operating costs, and stronger advertising ROI now achievable in the open internet. This is a positive structural read-through for TTD’s open internet positioning.</w:t>
      </w:r>
    </w:p>
    <w:p>
      <w:pPr>
        <w:pStyle w:val="ListBullet"/>
        <w:ind w:left="360" w:hanging="360"/>
      </w:pPr>
      <w:r>
        <w:rPr>
          <w:rFonts w:ascii="Calibri" w:hAnsi="Calibri"/>
          <w:b/>
          <w:color w:val="525866"/>
          <w:sz w:val="22"/>
        </w:rPr>
        <w:t xml:space="preserve">Softness in food &amp; drink, business verticals: </w:t>
      </w:r>
      <w:r>
        <w:rPr>
          <w:rFonts w:ascii="Calibri" w:hAnsi="Calibri"/>
          <w:color w:val="525866"/>
          <w:sz w:val="22"/>
        </w:rPr>
        <w:t>PubMatic noted softness in “business and food and drink verticals” in Q1, consistent with TTD’s own CPG headwind commentary. In April, slight softness in travel and arts &amp; entertainment was noted.</w:t>
      </w:r>
    </w:p>
    <w:p>
      <w:r>
        <w:rPr>
          <w:rFonts w:ascii="Calibri" w:hAnsi="Calibri"/>
          <w:color w:val="525866"/>
          <w:sz w:val="22"/>
        </w:rPr>
        <w:t>Source: PubMatic Q1 2026 Earnings Call Transcript (May 7, 2026).</w:t>
      </w:r>
    </w:p>
    <w:p>
      <w:pPr>
        <w:pStyle w:val="Heading2"/>
      </w:pPr>
      <w:r>
        <w:rPr>
          <w:rFonts w:ascii="Calibri" w:hAnsi="Calibri"/>
          <w:b/>
          <w:color w:val="3B4259"/>
          <w:sz w:val="28"/>
        </w:rPr>
        <w:t>PubMatic (PUBM) — Evercore TMT Global Conference (June 3, 2026)</w:t>
      </w:r>
    </w:p>
    <w:p>
      <w:r>
        <w:rPr>
          <w:rFonts w:ascii="Calibri" w:hAnsi="Calibri"/>
          <w:b/>
          <w:color w:val="525866"/>
          <w:sz w:val="22"/>
        </w:rPr>
        <w:t xml:space="preserve">Signal: </w:t>
      </w:r>
      <w:r>
        <w:rPr>
          <w:rFonts w:ascii="Calibri" w:hAnsi="Calibri"/>
          <w:b/>
          <w:color w:val="30A46C"/>
          <w:sz w:val="22"/>
        </w:rPr>
        <w:t>Positive</w:t>
      </w:r>
      <w:r>
        <w:rPr>
          <w:rFonts w:ascii="Calibri" w:hAnsi="Calibri"/>
          <w:color w:val="525866"/>
          <w:sz w:val="22"/>
        </w:rPr>
        <w:t>. PubMatic CEO described the AI transformation as “much, much bigger” than prior shifts (RTB, mobile), with agentic AI expected to represent 25% of media buying by end of 2028 and 50% by 2030. CTV business described as “very strong” and a “very material part” of the business, with double-digit growth expected in H2 2026.</w:t>
      </w:r>
    </w:p>
    <w:p>
      <w:pPr>
        <w:pStyle w:val="ListBullet"/>
        <w:ind w:left="360" w:hanging="360"/>
      </w:pPr>
      <w:r>
        <w:rPr>
          <w:rFonts w:ascii="Calibri" w:hAnsi="Calibri"/>
          <w:b/>
          <w:color w:val="525866"/>
          <w:sz w:val="22"/>
        </w:rPr>
        <w:t xml:space="preserve">Google antitrust remedy imminent: </w:t>
      </w:r>
      <w:r>
        <w:rPr>
          <w:rFonts w:ascii="Calibri" w:hAnsi="Calibri"/>
          <w:color w:val="525866"/>
          <w:sz w:val="22"/>
        </w:rPr>
        <w:t>PubMatic CEO stated a verdict is expected “imminently,” with behavioral remedies potentially enacted “within weeks to months.” Each point of market share shift is worth “$50–75M in revenue” to PubMatic, with 80% dropping to the bottom line. For TTD, a Google remedy that levels the ad server playing field would be a significant positive for open internet DSP demand.</w:t>
      </w:r>
    </w:p>
    <w:p>
      <w:pPr>
        <w:pStyle w:val="ListBullet"/>
        <w:ind w:left="360" w:hanging="360"/>
      </w:pPr>
      <w:r>
        <w:rPr>
          <w:rFonts w:ascii="Calibri" w:hAnsi="Calibri"/>
          <w:b/>
          <w:color w:val="525866"/>
          <w:sz w:val="22"/>
        </w:rPr>
        <w:t xml:space="preserve">Mid-market brand growth outpacing Fortune 1000: </w:t>
      </w:r>
      <w:r>
        <w:rPr>
          <w:rFonts w:ascii="Calibri" w:hAnsi="Calibri"/>
          <w:color w:val="525866"/>
          <w:sz w:val="22"/>
        </w:rPr>
        <w:t>PubMatic reiterated that “there’s not a lot of growth in the Fortune 1000 brands” while “challenger brands, mid-market, upper mid-market brands are growing much faster.” This is a consistent negative read-through for TTD’s large-brand concentration.</w:t>
      </w:r>
    </w:p>
    <w:p>
      <w:pPr>
        <w:pStyle w:val="ListBullet"/>
        <w:ind w:left="360" w:hanging="360"/>
      </w:pPr>
      <w:r>
        <w:rPr>
          <w:rFonts w:ascii="Calibri" w:hAnsi="Calibri"/>
          <w:b/>
          <w:color w:val="525866"/>
          <w:sz w:val="22"/>
        </w:rPr>
        <w:t xml:space="preserve">Agentic AI prediction: </w:t>
      </w:r>
      <w:r>
        <w:rPr>
          <w:rFonts w:ascii="Calibri" w:hAnsi="Calibri"/>
          <w:color w:val="525866"/>
          <w:sz w:val="22"/>
        </w:rPr>
        <w:t>PubMatic CEO predicted 25% of media buying will be agentic by end of 2028 and 50% by 2030, and said he “may be conservative.” This validates TTD’s own agentic AI investment thesis and positions the open internet as the primary beneficiary of agentic adoption.</w:t>
      </w:r>
    </w:p>
    <w:p>
      <w:r>
        <w:rPr>
          <w:rFonts w:ascii="Calibri" w:hAnsi="Calibri"/>
          <w:color w:val="525866"/>
          <w:sz w:val="22"/>
        </w:rPr>
        <w:t>Source: PubMatic at Evercore TMT Global Conference Transcript (June 3, 2026).</w:t>
      </w:r>
    </w:p>
    <w:p>
      <w:pPr>
        <w:pStyle w:val="Heading2"/>
      </w:pPr>
      <w:r>
        <w:rPr>
          <w:rFonts w:ascii="Calibri" w:hAnsi="Calibri"/>
          <w:b/>
          <w:color w:val="3B4259"/>
          <w:sz w:val="28"/>
        </w:rPr>
        <w:t>PubMatic (PUBM) — Needham Technology, Media &amp; Consumer Conference (May 13, 2026)</w:t>
      </w:r>
    </w:p>
    <w:p>
      <w:r>
        <w:rPr>
          <w:rFonts w:ascii="Calibri" w:hAnsi="Calibri"/>
          <w:b/>
          <w:color w:val="525866"/>
          <w:sz w:val="22"/>
        </w:rPr>
        <w:t xml:space="preserve">Signal: </w:t>
      </w:r>
      <w:r>
        <w:rPr>
          <w:rFonts w:ascii="Calibri" w:hAnsi="Calibri"/>
          <w:b/>
          <w:color w:val="30A46C"/>
          <w:sz w:val="22"/>
        </w:rPr>
        <w:t>Positive</w:t>
      </w:r>
      <w:r>
        <w:rPr>
          <w:rFonts w:ascii="Calibri" w:hAnsi="Calibri"/>
          <w:color w:val="525866"/>
          <w:sz w:val="22"/>
        </w:rPr>
        <w:t>. PubMatic described the current AI transformation as the “third major transformation” in the industry (after RTB and mobile), expected to be “significantly larger” because unstructured data is “100x the size of structured data.” Emerging revenues (AI-powered solutions) grew 80%+ YoY in Q1 and represented 14% of total revenues.</w:t>
      </w:r>
    </w:p>
    <w:p>
      <w:pPr>
        <w:pStyle w:val="ListBullet"/>
        <w:ind w:left="360" w:hanging="360"/>
      </w:pPr>
      <w:r>
        <w:rPr>
          <w:rFonts w:ascii="Calibri" w:hAnsi="Calibri"/>
          <w:b/>
          <w:color w:val="525866"/>
          <w:sz w:val="22"/>
        </w:rPr>
        <w:t xml:space="preserve">Open internet performance gap closing: </w:t>
      </w:r>
      <w:r>
        <w:rPr>
          <w:rFonts w:ascii="Calibri" w:hAnsi="Calibri"/>
          <w:color w:val="525866"/>
          <w:sz w:val="22"/>
        </w:rPr>
        <w:t>PubMatic’s Activate product (direct buying in SSP) demonstrated 40% lower CPMs and 30–40% improvement in ROAS for an independent agency in the Netherlands by removing the DSP from the equation. While this is a competitive threat to TTD’s DSP model, it also validates the open internet’s ability to compete with walled gardens on performance.</w:t>
      </w:r>
    </w:p>
    <w:p>
      <w:pPr>
        <w:pStyle w:val="ListBullet"/>
        <w:ind w:left="360" w:hanging="360"/>
      </w:pPr>
      <w:r>
        <w:rPr>
          <w:rFonts w:ascii="Calibri" w:hAnsi="Calibri"/>
          <w:b/>
          <w:color w:val="525866"/>
          <w:sz w:val="22"/>
        </w:rPr>
        <w:t xml:space="preserve">80% of PubMatic code now AI-generated: </w:t>
      </w:r>
      <w:r>
        <w:rPr>
          <w:rFonts w:ascii="Calibri" w:hAnsi="Calibri"/>
          <w:color w:val="525866"/>
          <w:sz w:val="22"/>
        </w:rPr>
        <w:t>PubMatic noted that “80% of the code on our platform now is generated via AI,” enabling faster product shipping with a smaller engineering team. Headcount is down 5–10% even as revenue grows. This is a positive read-through for the ad-tech sector’s ability to leverage AI for margin expansion.</w:t>
      </w:r>
    </w:p>
    <w:p>
      <w:pPr>
        <w:pStyle w:val="ListBullet"/>
        <w:ind w:left="360" w:hanging="360"/>
      </w:pPr>
      <w:r>
        <w:rPr>
          <w:rFonts w:ascii="Calibri" w:hAnsi="Calibri"/>
          <w:b/>
          <w:color w:val="525866"/>
          <w:sz w:val="22"/>
        </w:rPr>
        <w:t xml:space="preserve">Google antitrust behavioral remedies could come “within weeks to months”: </w:t>
      </w:r>
      <w:r>
        <w:rPr>
          <w:rFonts w:ascii="Calibri" w:hAnsi="Calibri"/>
          <w:color w:val="525866"/>
          <w:sz w:val="22"/>
        </w:rPr>
        <w:t>PubMatic CEO stated behavioral remedies could be implemented very quickly and “we could see benefit as early as later this year.” A positive catalyst for the open internet ecosystem.</w:t>
      </w:r>
    </w:p>
    <w:p>
      <w:r>
        <w:rPr>
          <w:rFonts w:ascii="Calibri" w:hAnsi="Calibri"/>
          <w:color w:val="525866"/>
          <w:sz w:val="22"/>
        </w:rPr>
        <w:t>Source: PubMatic at Needham Technology, Media &amp; Consumer Conference Transcript (May 13, 2026).</w:t>
      </w:r>
    </w:p>
    <w:p>
      <w:pPr>
        <w:pStyle w:val="Heading2"/>
      </w:pPr>
      <w:r>
        <w:rPr>
          <w:rFonts w:ascii="Calibri" w:hAnsi="Calibri"/>
          <w:b/>
          <w:color w:val="3B4259"/>
          <w:sz w:val="28"/>
        </w:rPr>
        <w:t>Roku (ROKU) — Needham Technology, Media &amp; Consumer Conference (May 12, 2026)</w:t>
      </w:r>
    </w:p>
    <w:p>
      <w:r>
        <w:rPr>
          <w:rFonts w:ascii="Calibri" w:hAnsi="Calibri"/>
          <w:b/>
          <w:color w:val="525866"/>
          <w:sz w:val="22"/>
        </w:rPr>
        <w:t xml:space="preserve">Signal: </w:t>
      </w:r>
      <w:r>
        <w:rPr>
          <w:rFonts w:ascii="Calibri" w:hAnsi="Calibri"/>
          <w:b/>
          <w:color w:val="30A46C"/>
          <w:sz w:val="22"/>
        </w:rPr>
        <w:t>Positive</w:t>
      </w:r>
      <w:r>
        <w:rPr>
          <w:rFonts w:ascii="Calibri" w:hAnsi="Calibri"/>
          <w:color w:val="525866"/>
          <w:sz w:val="22"/>
        </w:rPr>
        <w:t>. Roku’s CFO described the CTV ad market as strong, with Roku’s ad business growing 26–27% in Q1. Roku has integrated with “every DSP out there,” including Trade Desk, Amazon, Yahoo!, and most recently DV360 (Google), opening up “a lot of incremental demand.” Advertising gross margins were “just over 60%” in Q1, up 450bps YoY.</w:t>
      </w:r>
    </w:p>
    <w:p>
      <w:pPr>
        <w:pStyle w:val="ListBullet"/>
        <w:ind w:left="360" w:hanging="360"/>
      </w:pPr>
      <w:r>
        <w:rPr>
          <w:rFonts w:ascii="Calibri" w:hAnsi="Calibri"/>
          <w:b/>
          <w:color w:val="525866"/>
          <w:sz w:val="22"/>
        </w:rPr>
        <w:t xml:space="preserve">TTD explicitly named as a key DSP integration: </w:t>
      </w:r>
      <w:r>
        <w:rPr>
          <w:rFonts w:ascii="Calibri" w:hAnsi="Calibri"/>
          <w:color w:val="525866"/>
          <w:sz w:val="22"/>
        </w:rPr>
        <w:t>Roku’s CFO specifically named “Trade Desk, Amazon, World, Yahoo!, DV360 at Google” as DSP integrations, confirming TTD’s position as a primary demand channel for Roku’s 100M+ streaming households. More Roku supply accessible via TTD is a direct positive.</w:t>
      </w:r>
    </w:p>
    <w:p>
      <w:pPr>
        <w:pStyle w:val="ListBullet"/>
        <w:ind w:left="360" w:hanging="360"/>
      </w:pPr>
      <w:r>
        <w:rPr>
          <w:rFonts w:ascii="Calibri" w:hAnsi="Calibri"/>
          <w:b/>
          <w:color w:val="525866"/>
          <w:sz w:val="22"/>
        </w:rPr>
        <w:t xml:space="preserve">SMB market is a new CTV TAM: </w:t>
      </w:r>
      <w:r>
        <w:rPr>
          <w:rFonts w:ascii="Calibri" w:hAnsi="Calibri"/>
          <w:color w:val="525866"/>
          <w:sz w:val="22"/>
        </w:rPr>
        <w:t>Roku described the SMB market as “$600 billion” in total spend, with its Ads Manager self-service product growing “extraordinarily well.” TTD has also articulated a down-market expansion strategy — Roku’s SMB success validates the TAM opportunity.</w:t>
      </w:r>
    </w:p>
    <w:p>
      <w:pPr>
        <w:pStyle w:val="ListBullet"/>
        <w:ind w:left="360" w:hanging="360"/>
      </w:pPr>
      <w:r>
        <w:rPr>
          <w:rFonts w:ascii="Calibri" w:hAnsi="Calibri"/>
          <w:b/>
          <w:color w:val="525866"/>
          <w:sz w:val="22"/>
        </w:rPr>
        <w:t xml:space="preserve">Supply-demand normalizing: </w:t>
      </w:r>
      <w:r>
        <w:rPr>
          <w:rFonts w:ascii="Calibri" w:hAnsi="Calibri"/>
          <w:color w:val="525866"/>
          <w:sz w:val="22"/>
        </w:rPr>
        <w:t>Roku noted that a prior period of supply exceeding demand (which compressed CPMs) is “normalizing” as ad dollars shift “quite fast from linear into digital.” This is a positive for TTD’s take rate stability.</w:t>
      </w:r>
    </w:p>
    <w:p>
      <w:pPr>
        <w:pStyle w:val="ListBullet"/>
        <w:ind w:left="360" w:hanging="360"/>
      </w:pPr>
      <w:r>
        <w:rPr>
          <w:rFonts w:ascii="Calibri" w:hAnsi="Calibri"/>
          <w:b/>
          <w:color w:val="525866"/>
          <w:sz w:val="22"/>
        </w:rPr>
        <w:t xml:space="preserve">AI is an “absolute tailwind” for Roku: </w:t>
      </w:r>
      <w:r>
        <w:rPr>
          <w:rFonts w:ascii="Calibri" w:hAnsi="Calibri"/>
          <w:color w:val="525866"/>
          <w:sz w:val="22"/>
        </w:rPr>
        <w:t>Roku described AI as embedded in its ad tech and expected to be “instrumental in both short- and long-form content.” GenAI is helping SMBs create 15–30 second video ads, removing a key barrier to CTV entry. Positive for TTD’s CTV TAM expansion thesis.</w:t>
      </w:r>
    </w:p>
    <w:p>
      <w:r>
        <w:rPr>
          <w:rFonts w:ascii="Calibri" w:hAnsi="Calibri"/>
          <w:color w:val="525866"/>
          <w:sz w:val="22"/>
        </w:rPr>
        <w:t>Source: Roku at Needham Technology, Media &amp; Consumer Conference Transcript (May 12, 2026).</w:t>
      </w:r>
    </w:p>
    <w:p>
      <w:pPr>
        <w:pStyle w:val="Heading2"/>
      </w:pPr>
      <w:r>
        <w:rPr>
          <w:rFonts w:ascii="Calibri" w:hAnsi="Calibri"/>
          <w:b/>
          <w:color w:val="3B4259"/>
          <w:sz w:val="28"/>
        </w:rPr>
        <w:t>Roku (ROKU) — Evercore TMT Global Conference (June 2, 2026)</w:t>
      </w:r>
    </w:p>
    <w:p>
      <w:r>
        <w:rPr>
          <w:rFonts w:ascii="Calibri" w:hAnsi="Calibri"/>
          <w:b/>
          <w:color w:val="525866"/>
          <w:sz w:val="22"/>
        </w:rPr>
        <w:t xml:space="preserve">Signal: </w:t>
      </w:r>
      <w:r>
        <w:rPr>
          <w:rFonts w:ascii="Calibri" w:hAnsi="Calibri"/>
          <w:b/>
          <w:color w:val="30A46C"/>
          <w:sz w:val="22"/>
        </w:rPr>
        <w:t>Positive</w:t>
      </w:r>
      <w:r>
        <w:rPr>
          <w:rFonts w:ascii="Calibri" w:hAnsi="Calibri"/>
          <w:color w:val="525866"/>
          <w:sz w:val="22"/>
        </w:rPr>
        <w:t>. Roku’s platform business is projected to grow double-digits for full-year 2026, with growth rate “accelerating” into Q1 and Q2 relative to prior quarters. The U.S. CTV ad market is ~$90B total, with only “a little over 1/3” having moved to CTV despite “2/3 of hours” already on digital — a significant structural tailwind.</w:t>
      </w:r>
    </w:p>
    <w:p>
      <w:pPr>
        <w:pStyle w:val="ListBullet"/>
        <w:ind w:left="360" w:hanging="360"/>
      </w:pPr>
      <w:r>
        <w:rPr>
          <w:rFonts w:ascii="Calibri" w:hAnsi="Calibri"/>
          <w:b/>
          <w:color w:val="525866"/>
          <w:sz w:val="22"/>
        </w:rPr>
        <w:t xml:space="preserve">Ad dollars still catching up to audience migration: </w:t>
      </w:r>
      <w:r>
        <w:rPr>
          <w:rFonts w:ascii="Calibri" w:hAnsi="Calibri"/>
          <w:color w:val="525866"/>
          <w:sz w:val="22"/>
        </w:rPr>
        <w:t>Roku noted that while 2/3 of viewing hours have moved to digital, only 1/3 of ad dollars have followed. This structural gap is the core of TTD’s CTV growth thesis and validates the multi-year runway.</w:t>
      </w:r>
    </w:p>
    <w:p>
      <w:pPr>
        <w:pStyle w:val="ListBullet"/>
        <w:ind w:left="360" w:hanging="360"/>
      </w:pPr>
      <w:r>
        <w:rPr>
          <w:rFonts w:ascii="Calibri" w:hAnsi="Calibri"/>
          <w:b/>
          <w:color w:val="525866"/>
          <w:sz w:val="22"/>
        </w:rPr>
        <w:t xml:space="preserve">Sports content now fully available on CTV: </w:t>
      </w:r>
      <w:r>
        <w:rPr>
          <w:rFonts w:ascii="Calibri" w:hAnsi="Calibri"/>
          <w:color w:val="525866"/>
          <w:sz w:val="22"/>
        </w:rPr>
        <w:t>Roku noted that “everything is available on CTV” including sports (NFL exclusively on Prime Video, Peacock, Netflix), removing the last holdout of linear TV. This accelerates the ad dollar migration to CTV.</w:t>
      </w:r>
    </w:p>
    <w:p>
      <w:pPr>
        <w:pStyle w:val="ListBullet"/>
        <w:ind w:left="360" w:hanging="360"/>
      </w:pPr>
      <w:r>
        <w:rPr>
          <w:rFonts w:ascii="Calibri" w:hAnsi="Calibri"/>
          <w:b/>
          <w:color w:val="525866"/>
          <w:sz w:val="22"/>
        </w:rPr>
        <w:t xml:space="preserve">Amazon DSP integration ramping: </w:t>
      </w:r>
      <w:r>
        <w:rPr>
          <w:rFonts w:ascii="Calibri" w:hAnsi="Calibri"/>
          <w:color w:val="525866"/>
          <w:sz w:val="22"/>
        </w:rPr>
        <w:t>Roku noted Amazon DSP “launched in Q4 and is ramping,” with DV360 (Google) set to launch in H2. More DSP integrations mean more demand flowing to Roku supply — positive for TTD as a competing DSP that already has deep Roku integration.</w:t>
      </w:r>
    </w:p>
    <w:p>
      <w:pPr>
        <w:pStyle w:val="ListBullet"/>
        <w:ind w:left="360" w:hanging="360"/>
      </w:pPr>
      <w:r>
        <w:rPr>
          <w:rFonts w:ascii="Calibri" w:hAnsi="Calibri"/>
          <w:b/>
          <w:color w:val="525866"/>
          <w:sz w:val="22"/>
        </w:rPr>
        <w:t xml:space="preserve">Performance-based demand growing: </w:t>
      </w:r>
      <w:r>
        <w:rPr>
          <w:rFonts w:ascii="Calibri" w:hAnsi="Calibri"/>
          <w:color w:val="525866"/>
          <w:sz w:val="22"/>
        </w:rPr>
        <w:t>Roku described “a lot of demand coming our way for video, which I would say is more performance-based,” with new verticals (Walmart, auto, insurance, health &amp; wellness) entering the home screen video ad unit. Performance-based CTV is a key TTD growth driver.</w:t>
      </w:r>
    </w:p>
    <w:p>
      <w:r>
        <w:rPr>
          <w:rFonts w:ascii="Calibri" w:hAnsi="Calibri"/>
          <w:color w:val="525866"/>
          <w:sz w:val="22"/>
        </w:rPr>
        <w:t>Source: Roku at Evercore TMT Global Conference Transcript (June 2, 2026).</w:t>
      </w:r>
    </w:p>
    <w:p>
      <w:pPr>
        <w:pStyle w:val="Heading2"/>
      </w:pPr>
      <w:r>
        <w:rPr>
          <w:rFonts w:ascii="Calibri" w:hAnsi="Calibri"/>
          <w:b/>
          <w:color w:val="3B4259"/>
          <w:sz w:val="28"/>
        </w:rPr>
        <w:t>Alphabet / Google (GOOGL) — Q2 2026 Earnings (July 22, 2026)</w:t>
      </w:r>
    </w:p>
    <w:p>
      <w:r>
        <w:rPr>
          <w:rFonts w:ascii="Calibri" w:hAnsi="Calibri"/>
          <w:b/>
          <w:color w:val="525866"/>
          <w:sz w:val="22"/>
        </w:rPr>
        <w:t xml:space="preserve">Signal: </w:t>
      </w:r>
      <w:r>
        <w:rPr>
          <w:rFonts w:ascii="Calibri" w:hAnsi="Calibri"/>
          <w:b/>
          <w:color w:val="525866"/>
          <w:sz w:val="22"/>
        </w:rPr>
        <w:t>Mixed</w:t>
      </w:r>
      <w:r>
        <w:rPr>
          <w:rFonts w:ascii="Calibri" w:hAnsi="Calibri"/>
          <w:color w:val="525866"/>
          <w:sz w:val="22"/>
        </w:rPr>
        <w:t>. Google’s Q2 2026 results showed total advertising revenues up 14% YoY, with Search +17% and YouTube +13%. However, Google Network (open internet display) was down 1% YoY — a direct negative read-through for the open internet display segment. The strong Google results confirm the overall ad market is healthy, but the continued strength of walled gardens vs. open internet is a structural headwind for TTD.</w:t>
      </w:r>
    </w:p>
    <w:p>
      <w:pPr>
        <w:pStyle w:val="ListBullet"/>
        <w:ind w:left="360" w:hanging="360"/>
      </w:pPr>
      <w:r>
        <w:rPr>
          <w:rFonts w:ascii="Calibri" w:hAnsi="Calibri"/>
          <w:b/>
          <w:color w:val="525866"/>
          <w:sz w:val="22"/>
        </w:rPr>
        <w:t xml:space="preserve">Overall ad market is healthy: </w:t>
      </w:r>
      <w:r>
        <w:rPr>
          <w:rFonts w:ascii="Calibri" w:hAnsi="Calibri"/>
          <w:color w:val="525866"/>
          <w:sz w:val="22"/>
        </w:rPr>
        <w:t>Google’s total advertising revenues up 14% YoY with “growth across all major verticals” confirms the macro ad environment is not deteriorating. Retail and finance drove the largest contributions to Search growth. This is a positive backdrop for TTD’s Q2.</w:t>
      </w:r>
    </w:p>
    <w:p>
      <w:pPr>
        <w:pStyle w:val="ListBullet"/>
        <w:ind w:left="360" w:hanging="360"/>
      </w:pPr>
      <w:r>
        <w:rPr>
          <w:rFonts w:ascii="Calibri" w:hAnsi="Calibri"/>
          <w:b/>
          <w:color w:val="525866"/>
          <w:sz w:val="22"/>
        </w:rPr>
        <w:t xml:space="preserve">Google Network (open internet) down 1%: </w:t>
      </w:r>
      <w:r>
        <w:rPr>
          <w:rFonts w:ascii="Calibri" w:hAnsi="Calibri"/>
          <w:color w:val="525866"/>
          <w:sz w:val="22"/>
        </w:rPr>
        <w:t>Google Network revenues of $7.3B were down 1% YoY — a direct negative read-through for open internet display advertising. However, TTD’s business is concentrated in premium video, CTV, and audio (not display), so the direct impact is limited.</w:t>
      </w:r>
    </w:p>
    <w:p>
      <w:pPr>
        <w:pStyle w:val="ListBullet"/>
        <w:ind w:left="360" w:hanging="360"/>
      </w:pPr>
      <w:r>
        <w:rPr>
          <w:rFonts w:ascii="Calibri" w:hAnsi="Calibri"/>
          <w:b/>
          <w:color w:val="525866"/>
          <w:sz w:val="22"/>
        </w:rPr>
        <w:t xml:space="preserve">YouTube living room momentum: </w:t>
      </w:r>
      <w:r>
        <w:rPr>
          <w:rFonts w:ascii="Calibri" w:hAnsi="Calibri"/>
          <w:color w:val="525866"/>
          <w:sz w:val="22"/>
        </w:rPr>
        <w:t>YouTube cited “continued momentum across both brand and direct response” in the living room, with the FIFA World Cup 2026 being the most viewed World Cup in YouTube history (1.7B unique viewers, 550M on TV). YouTube’s CTV strength is a competitive dynamic for TTD’s CTV inventory, but also validates the secular shift to streaming.</w:t>
      </w:r>
    </w:p>
    <w:p>
      <w:pPr>
        <w:pStyle w:val="ListBullet"/>
        <w:ind w:left="360" w:hanging="360"/>
      </w:pPr>
      <w:r>
        <w:rPr>
          <w:rFonts w:ascii="Calibri" w:hAnsi="Calibri"/>
          <w:b/>
          <w:color w:val="525866"/>
          <w:sz w:val="22"/>
        </w:rPr>
        <w:t xml:space="preserve">AI-powered campaigns driving 15% more conversions: </w:t>
      </w:r>
      <w:r>
        <w:rPr>
          <w:rFonts w:ascii="Calibri" w:hAnsi="Calibri"/>
          <w:color w:val="525866"/>
          <w:sz w:val="22"/>
        </w:rPr>
        <w:t>Google’s AI-powered campaigns (Imax/Pmax) are showing “15% more conversions or value on search at a similar ROAS.” This raises the performance bar for open internet platforms like TTD to compete on efficacy.</w:t>
      </w:r>
    </w:p>
    <w:p>
      <w:pPr>
        <w:pStyle w:val="ListBullet"/>
        <w:ind w:left="360" w:hanging="360"/>
      </w:pPr>
      <w:r>
        <w:rPr>
          <w:rFonts w:ascii="Calibri" w:hAnsi="Calibri"/>
          <w:b/>
          <w:color w:val="525866"/>
          <w:sz w:val="22"/>
        </w:rPr>
        <w:t xml:space="preserve">Q3 search lapping acceleration: </w:t>
      </w:r>
      <w:r>
        <w:rPr>
          <w:rFonts w:ascii="Calibri" w:hAnsi="Calibri"/>
          <w:color w:val="525866"/>
          <w:sz w:val="22"/>
        </w:rPr>
        <w:t>Google noted it will “begin lapping an acceleration in search performance that began in Q3 last year” — suggesting some deceleration in Google’s own growth rate in Q3, which could be a mild positive for open internet share.</w:t>
      </w:r>
    </w:p>
    <w:p>
      <w:r>
        <w:rPr>
          <w:rFonts w:ascii="Calibri" w:hAnsi="Calibri"/>
          <w:color w:val="525866"/>
          <w:sz w:val="22"/>
        </w:rPr>
        <w:t>Source: Alphabet Q2 2026 Earnings Call Transcript (July 22, 2026).</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Source / Date</w:t>
            </w:r>
          </w:p>
        </w:tc>
        <w:tc>
          <w:tcPr>
            <w:tcW w:type="dxa" w:w="2160"/>
            <w:shd w:val="clear" w:color="auto" w:fill="3B4259"/>
          </w:tcPr>
          <w:p>
            <w:r>
              <w:rPr>
                <w:rFonts w:ascii="Calibri" w:hAnsi="Calibri"/>
                <w:b/>
                <w:color w:val="FFFFFF"/>
                <w:sz w:val="22"/>
              </w:rPr>
              <w:t>Signal for TTD</w:t>
            </w:r>
          </w:p>
        </w:tc>
        <w:tc>
          <w:tcPr>
            <w:tcW w:type="dxa" w:w="2160"/>
            <w:shd w:val="clear" w:color="auto" w:fill="3B4259"/>
          </w:tcPr>
          <w:p>
            <w:r>
              <w:rPr>
                <w:rFonts w:ascii="Calibri" w:hAnsi="Calibri"/>
                <w:b/>
                <w:color w:val="FFFFFF"/>
                <w:sz w:val="22"/>
              </w:rPr>
              <w:t>Key Read-Through</w:t>
            </w:r>
          </w:p>
        </w:tc>
      </w:tr>
      <w:tr>
        <w:tc>
          <w:tcPr>
            <w:tcW w:type="dxa" w:w="2160"/>
          </w:tcPr>
          <w:p>
            <w:r>
              <w:rPr>
                <w:rFonts w:ascii="Calibri" w:hAnsi="Calibri"/>
                <w:sz w:val="22"/>
              </w:rPr>
              <w:t>Magnite (MGNI)</w:t>
            </w:r>
          </w:p>
        </w:tc>
        <w:tc>
          <w:tcPr>
            <w:tcW w:type="dxa" w:w="2160"/>
          </w:tcPr>
          <w:p>
            <w:r>
              <w:rPr>
                <w:rFonts w:ascii="Calibri" w:hAnsi="Calibri"/>
                <w:sz w:val="22"/>
              </w:rPr>
              <w:t>Q2 2026 Earnings (Aug 5)</w:t>
            </w:r>
          </w:p>
        </w:tc>
        <w:tc>
          <w:tcPr>
            <w:tcW w:type="dxa" w:w="2160"/>
          </w:tcPr>
          <w:p>
            <w:r>
              <w:rPr>
                <w:rFonts w:ascii="Calibri" w:hAnsi="Calibri"/>
                <w:b/>
                <w:color w:val="30A46C"/>
                <w:sz w:val="22"/>
              </w:rPr>
              <w:t>Strongly Positive</w:t>
            </w:r>
          </w:p>
        </w:tc>
        <w:tc>
          <w:tcPr>
            <w:tcW w:type="dxa" w:w="2160"/>
          </w:tcPr>
          <w:p>
            <w:r>
              <w:rPr>
                <w:rFonts w:ascii="Calibri" w:hAnsi="Calibri"/>
                <w:sz w:val="22"/>
              </w:rPr>
              <w:t>CTV +36% YoY, beat by ~$10M; programmatic now “table stakes” in upfronts; auto returned to growth; macro conservatism maintained for H2</w:t>
            </w:r>
          </w:p>
        </w:tc>
      </w:tr>
      <w:tr>
        <w:tc>
          <w:tcPr>
            <w:tcW w:type="dxa" w:w="2160"/>
          </w:tcPr>
          <w:p>
            <w:r>
              <w:rPr>
                <w:rFonts w:ascii="Calibri" w:hAnsi="Calibri"/>
                <w:sz w:val="22"/>
              </w:rPr>
              <w:t>Magnite (MGNI)</w:t>
            </w:r>
          </w:p>
        </w:tc>
        <w:tc>
          <w:tcPr>
            <w:tcW w:type="dxa" w:w="2160"/>
          </w:tcPr>
          <w:p>
            <w:r>
              <w:rPr>
                <w:rFonts w:ascii="Calibri" w:hAnsi="Calibri"/>
                <w:sz w:val="22"/>
              </w:rPr>
              <w:t>Roth AdTech Summit (Jun 15)</w:t>
            </w:r>
          </w:p>
        </w:tc>
        <w:tc>
          <w:tcPr>
            <w:tcW w:type="dxa" w:w="2160"/>
          </w:tcPr>
          <w:p>
            <w:r>
              <w:rPr>
                <w:rFonts w:ascii="Calibri" w:hAnsi="Calibri"/>
                <w:b/>
                <w:color w:val="30A46C"/>
                <w:sz w:val="22"/>
              </w:rPr>
              <w:t>Positive</w:t>
            </w:r>
          </w:p>
        </w:tc>
        <w:tc>
          <w:tcPr>
            <w:tcW w:type="dxa" w:w="2160"/>
          </w:tcPr>
          <w:p>
            <w:r>
              <w:rPr>
                <w:rFonts w:ascii="Calibri" w:hAnsi="Calibri"/>
                <w:sz w:val="22"/>
              </w:rPr>
              <w:t>Ad market healthy; sports programmatic accelerating; ~90% CTV inventory now programmatic; AI driving margin expansion</w:t>
            </w:r>
          </w:p>
        </w:tc>
      </w:tr>
      <w:tr>
        <w:tc>
          <w:tcPr>
            <w:tcW w:type="dxa" w:w="2160"/>
          </w:tcPr>
          <w:p>
            <w:r>
              <w:rPr>
                <w:rFonts w:ascii="Calibri" w:hAnsi="Calibri"/>
                <w:sz w:val="22"/>
              </w:rPr>
              <w:t>Magnite (MGNI)</w:t>
            </w:r>
          </w:p>
        </w:tc>
        <w:tc>
          <w:tcPr>
            <w:tcW w:type="dxa" w:w="2160"/>
          </w:tcPr>
          <w:p>
            <w:r>
              <w:rPr>
                <w:rFonts w:ascii="Calibri" w:hAnsi="Calibri"/>
                <w:sz w:val="22"/>
              </w:rPr>
              <w:t>Evercore TMT (Jun 3)</w:t>
            </w:r>
          </w:p>
        </w:tc>
        <w:tc>
          <w:tcPr>
            <w:tcW w:type="dxa" w:w="2160"/>
          </w:tcPr>
          <w:p>
            <w:r>
              <w:rPr>
                <w:rFonts w:ascii="Calibri" w:hAnsi="Calibri"/>
                <w:b/>
                <w:color w:val="30A46C"/>
                <w:sz w:val="22"/>
              </w:rPr>
              <w:t>Positive</w:t>
            </w:r>
          </w:p>
        </w:tc>
        <w:tc>
          <w:tcPr>
            <w:tcW w:type="dxa" w:w="2160"/>
          </w:tcPr>
          <w:p>
            <w:r>
              <w:rPr>
                <w:rFonts w:ascii="Calibri" w:hAnsi="Calibri"/>
                <w:sz w:val="22"/>
              </w:rPr>
              <w:t>Upfronts “very strong”; CTV programmatic growing 25–30% YoY; Disney targeting 50% programmatic by year-end; political spend tailwind in H2</w:t>
            </w:r>
          </w:p>
        </w:tc>
      </w:tr>
      <w:tr>
        <w:tc>
          <w:tcPr>
            <w:tcW w:type="dxa" w:w="2160"/>
          </w:tcPr>
          <w:p>
            <w:r>
              <w:rPr>
                <w:rFonts w:ascii="Calibri" w:hAnsi="Calibri"/>
                <w:sz w:val="22"/>
              </w:rPr>
              <w:t>Magnite (MGNI)</w:t>
            </w:r>
          </w:p>
        </w:tc>
        <w:tc>
          <w:tcPr>
            <w:tcW w:type="dxa" w:w="2160"/>
          </w:tcPr>
          <w:p>
            <w:r>
              <w:rPr>
                <w:rFonts w:ascii="Calibri" w:hAnsi="Calibri"/>
                <w:sz w:val="22"/>
              </w:rPr>
              <w:t>Needham Conference (May 13)</w:t>
            </w:r>
          </w:p>
        </w:tc>
        <w:tc>
          <w:tcPr>
            <w:tcW w:type="dxa" w:w="2160"/>
          </w:tcPr>
          <w:p>
            <w:r>
              <w:rPr>
                <w:rFonts w:ascii="Calibri" w:hAnsi="Calibri"/>
                <w:b/>
                <w:color w:val="30A46C"/>
                <w:sz w:val="22"/>
              </w:rPr>
              <w:t>Positive</w:t>
            </w:r>
          </w:p>
        </w:tc>
        <w:tc>
          <w:tcPr>
            <w:tcW w:type="dxa" w:w="2160"/>
          </w:tcPr>
          <w:p>
            <w:r>
              <w:rPr>
                <w:rFonts w:ascii="Calibri" w:hAnsi="Calibri"/>
                <w:sz w:val="22"/>
              </w:rPr>
              <w:t>March Madness +80% YoY; live sports programmatic accelerating; agentic AI in early stages; SPO consolidation complete</w:t>
            </w:r>
          </w:p>
        </w:tc>
      </w:tr>
      <w:tr>
        <w:tc>
          <w:tcPr>
            <w:tcW w:type="dxa" w:w="2160"/>
          </w:tcPr>
          <w:p>
            <w:r>
              <w:rPr>
                <w:rFonts w:ascii="Calibri" w:hAnsi="Calibri"/>
                <w:sz w:val="22"/>
              </w:rPr>
              <w:t>PubMatic (PUBM)</w:t>
            </w:r>
          </w:p>
        </w:tc>
        <w:tc>
          <w:tcPr>
            <w:tcW w:type="dxa" w:w="2160"/>
          </w:tcPr>
          <w:p>
            <w:r>
              <w:rPr>
                <w:rFonts w:ascii="Calibri" w:hAnsi="Calibri"/>
                <w:sz w:val="22"/>
              </w:rPr>
              <w:t>Q1 2026 Earnings (May 7) — Q2 Outlook</w:t>
            </w:r>
          </w:p>
        </w:tc>
        <w:tc>
          <w:tcPr>
            <w:tcW w:type="dxa" w:w="2160"/>
          </w:tcPr>
          <w:p>
            <w:r>
              <w:rPr>
                <w:rFonts w:ascii="Calibri" w:hAnsi="Calibri"/>
                <w:sz w:val="22"/>
              </w:rPr>
              <w:t>Mixed</w:t>
            </w:r>
          </w:p>
        </w:tc>
        <w:tc>
          <w:tcPr>
            <w:tcW w:type="dxa" w:w="2160"/>
          </w:tcPr>
          <w:p>
            <w:r>
              <w:rPr>
                <w:rFonts w:ascii="Calibri" w:hAnsi="Calibri"/>
                <w:sz w:val="22"/>
              </w:rPr>
              <w:t>Fortune 1000 ad budgets stagnant (direct TTD risk); mid-market DSPs growing 20%+; macro “stable, healthy”; CTV growing; food &amp; drink soft</w:t>
            </w:r>
          </w:p>
        </w:tc>
      </w:tr>
      <w:tr>
        <w:tc>
          <w:tcPr>
            <w:tcW w:type="dxa" w:w="2160"/>
          </w:tcPr>
          <w:p>
            <w:r>
              <w:rPr>
                <w:rFonts w:ascii="Calibri" w:hAnsi="Calibri"/>
                <w:sz w:val="22"/>
              </w:rPr>
              <w:t>PubMatic (PUBM)</w:t>
            </w:r>
          </w:p>
        </w:tc>
        <w:tc>
          <w:tcPr>
            <w:tcW w:type="dxa" w:w="2160"/>
          </w:tcPr>
          <w:p>
            <w:r>
              <w:rPr>
                <w:rFonts w:ascii="Calibri" w:hAnsi="Calibri"/>
                <w:sz w:val="22"/>
              </w:rPr>
              <w:t>Evercore TMT (Jun 3)</w:t>
            </w:r>
          </w:p>
        </w:tc>
        <w:tc>
          <w:tcPr>
            <w:tcW w:type="dxa" w:w="2160"/>
          </w:tcPr>
          <w:p>
            <w:r>
              <w:rPr>
                <w:rFonts w:ascii="Calibri" w:hAnsi="Calibri"/>
                <w:b/>
                <w:color w:val="30A46C"/>
                <w:sz w:val="22"/>
              </w:rPr>
              <w:t>Positive</w:t>
            </w:r>
          </w:p>
        </w:tc>
        <w:tc>
          <w:tcPr>
            <w:tcW w:type="dxa" w:w="2160"/>
          </w:tcPr>
          <w:p>
            <w:r>
              <w:rPr>
                <w:rFonts w:ascii="Calibri" w:hAnsi="Calibri"/>
                <w:sz w:val="22"/>
              </w:rPr>
              <w:t>Google antitrust remedy “imminent”; agentic AI 25% of media buying by 2028; CTV “very strong”; double-digit H2 growth expected</w:t>
            </w:r>
          </w:p>
        </w:tc>
      </w:tr>
      <w:tr>
        <w:tc>
          <w:tcPr>
            <w:tcW w:type="dxa" w:w="2160"/>
          </w:tcPr>
          <w:p>
            <w:r>
              <w:rPr>
                <w:rFonts w:ascii="Calibri" w:hAnsi="Calibri"/>
                <w:sz w:val="22"/>
              </w:rPr>
              <w:t>PubMatic (PUBM)</w:t>
            </w:r>
          </w:p>
        </w:tc>
        <w:tc>
          <w:tcPr>
            <w:tcW w:type="dxa" w:w="2160"/>
          </w:tcPr>
          <w:p>
            <w:r>
              <w:rPr>
                <w:rFonts w:ascii="Calibri" w:hAnsi="Calibri"/>
                <w:sz w:val="22"/>
              </w:rPr>
              <w:t>Needham Conference (May 13)</w:t>
            </w:r>
          </w:p>
        </w:tc>
        <w:tc>
          <w:tcPr>
            <w:tcW w:type="dxa" w:w="2160"/>
          </w:tcPr>
          <w:p>
            <w:r>
              <w:rPr>
                <w:rFonts w:ascii="Calibri" w:hAnsi="Calibri"/>
                <w:b/>
                <w:color w:val="30A46C"/>
                <w:sz w:val="22"/>
              </w:rPr>
              <w:t>Positive</w:t>
            </w:r>
          </w:p>
        </w:tc>
        <w:tc>
          <w:tcPr>
            <w:tcW w:type="dxa" w:w="2160"/>
          </w:tcPr>
          <w:p>
            <w:r>
              <w:rPr>
                <w:rFonts w:ascii="Calibri" w:hAnsi="Calibri"/>
                <w:sz w:val="22"/>
              </w:rPr>
              <w:t>AI is “third major transformation”; open internet performance gap closing; Google behavioral remedies could come “within weeks to months”</w:t>
            </w:r>
          </w:p>
        </w:tc>
      </w:tr>
      <w:tr>
        <w:tc>
          <w:tcPr>
            <w:tcW w:type="dxa" w:w="2160"/>
          </w:tcPr>
          <w:p>
            <w:r>
              <w:rPr>
                <w:rFonts w:ascii="Calibri" w:hAnsi="Calibri"/>
                <w:sz w:val="22"/>
              </w:rPr>
              <w:t>Roku (ROKU)</w:t>
            </w:r>
          </w:p>
        </w:tc>
        <w:tc>
          <w:tcPr>
            <w:tcW w:type="dxa" w:w="2160"/>
          </w:tcPr>
          <w:p>
            <w:r>
              <w:rPr>
                <w:rFonts w:ascii="Calibri" w:hAnsi="Calibri"/>
                <w:sz w:val="22"/>
              </w:rPr>
              <w:t>Needham Conference (May 12)</w:t>
            </w:r>
          </w:p>
        </w:tc>
        <w:tc>
          <w:tcPr>
            <w:tcW w:type="dxa" w:w="2160"/>
          </w:tcPr>
          <w:p>
            <w:r>
              <w:rPr>
                <w:rFonts w:ascii="Calibri" w:hAnsi="Calibri"/>
                <w:b/>
                <w:color w:val="30A46C"/>
                <w:sz w:val="22"/>
              </w:rPr>
              <w:t>Positive</w:t>
            </w:r>
          </w:p>
        </w:tc>
        <w:tc>
          <w:tcPr>
            <w:tcW w:type="dxa" w:w="2160"/>
          </w:tcPr>
          <w:p>
            <w:r>
              <w:rPr>
                <w:rFonts w:ascii="Calibri" w:hAnsi="Calibri"/>
                <w:sz w:val="22"/>
              </w:rPr>
              <w:t>TTD named as key DSP integration; ad business +27% in Q1; SMB CTV TAM expanding; supply-demand normalizing; AI a tailwind</w:t>
            </w:r>
          </w:p>
        </w:tc>
      </w:tr>
      <w:tr>
        <w:tc>
          <w:tcPr>
            <w:tcW w:type="dxa" w:w="2160"/>
          </w:tcPr>
          <w:p>
            <w:r>
              <w:rPr>
                <w:rFonts w:ascii="Calibri" w:hAnsi="Calibri"/>
                <w:sz w:val="22"/>
              </w:rPr>
              <w:t>Roku (ROKU)</w:t>
            </w:r>
          </w:p>
        </w:tc>
        <w:tc>
          <w:tcPr>
            <w:tcW w:type="dxa" w:w="2160"/>
          </w:tcPr>
          <w:p>
            <w:r>
              <w:rPr>
                <w:rFonts w:ascii="Calibri" w:hAnsi="Calibri"/>
                <w:sz w:val="22"/>
              </w:rPr>
              <w:t>Evercore TMT (Jun 2)</w:t>
            </w:r>
          </w:p>
        </w:tc>
        <w:tc>
          <w:tcPr>
            <w:tcW w:type="dxa" w:w="2160"/>
          </w:tcPr>
          <w:p>
            <w:r>
              <w:rPr>
                <w:rFonts w:ascii="Calibri" w:hAnsi="Calibri"/>
                <w:b/>
                <w:color w:val="30A46C"/>
                <w:sz w:val="22"/>
              </w:rPr>
              <w:t>Positive</w:t>
            </w:r>
          </w:p>
        </w:tc>
        <w:tc>
          <w:tcPr>
            <w:tcW w:type="dxa" w:w="2160"/>
          </w:tcPr>
          <w:p>
            <w:r>
              <w:rPr>
                <w:rFonts w:ascii="Calibri" w:hAnsi="Calibri"/>
                <w:sz w:val="22"/>
              </w:rPr>
              <w:t>Platform double-digit growth accelerating; only 1/3 of ad dollars have followed 2/3 of viewing hours to CTV; sports fully on streaming</w:t>
            </w:r>
          </w:p>
        </w:tc>
      </w:tr>
      <w:tr>
        <w:tc>
          <w:tcPr>
            <w:tcW w:type="dxa" w:w="2160"/>
          </w:tcPr>
          <w:p>
            <w:r>
              <w:rPr>
                <w:rFonts w:ascii="Calibri" w:hAnsi="Calibri"/>
                <w:sz w:val="22"/>
              </w:rPr>
              <w:t>Alphabet / Google (GOOGL)</w:t>
            </w:r>
          </w:p>
        </w:tc>
        <w:tc>
          <w:tcPr>
            <w:tcW w:type="dxa" w:w="2160"/>
          </w:tcPr>
          <w:p>
            <w:r>
              <w:rPr>
                <w:rFonts w:ascii="Calibri" w:hAnsi="Calibri"/>
                <w:sz w:val="22"/>
              </w:rPr>
              <w:t>Q2 2026 Earnings (Jul 22)</w:t>
            </w:r>
          </w:p>
        </w:tc>
        <w:tc>
          <w:tcPr>
            <w:tcW w:type="dxa" w:w="2160"/>
          </w:tcPr>
          <w:p>
            <w:r>
              <w:rPr>
                <w:rFonts w:ascii="Calibri" w:hAnsi="Calibri"/>
                <w:sz w:val="22"/>
              </w:rPr>
              <w:t>Mixed</w:t>
            </w:r>
          </w:p>
        </w:tc>
        <w:tc>
          <w:tcPr>
            <w:tcW w:type="dxa" w:w="2160"/>
          </w:tcPr>
          <w:p>
            <w:r>
              <w:rPr>
                <w:rFonts w:ascii="Calibri" w:hAnsi="Calibri"/>
                <w:sz w:val="22"/>
              </w:rPr>
              <w:t>Total ad market healthy (+14% YoY); Google Network (open internet display) -1% YoY; YouTube CTV strong; walled garden AI performance bar rising</w:t>
            </w:r>
          </w:p>
        </w:tc>
      </w:tr>
    </w:tbl>
    <w:p>
      <w:r>
        <w:rPr>
          <w:rFonts w:ascii="Calibri" w:hAnsi="Calibri"/>
          <w:b/>
          <w:color w:val="525866"/>
          <w:sz w:val="22"/>
        </w:rPr>
        <w:t xml:space="preserve">Overall Peer Read-Through Assessment: </w:t>
      </w:r>
      <w:r>
        <w:rPr>
          <w:rFonts w:ascii="Calibri" w:hAnsi="Calibri"/>
          <w:color w:val="525866"/>
          <w:sz w:val="22"/>
        </w:rPr>
        <w:t>The weight of peer evidence is constructive for TTD’s Q2 2026 print. The CTV programmatic market is accelerating (Magnite Q2 beat is the most direct signal), the overall ad market is healthy (Google +14%), and the structural shift from linear to streaming is intact (Roku). The primary risk read-through is the consistent message from PubMatic and others that Fortune 1000 brand advertiser budgets are stagnant — directly relevant to TTD’s large-brand concentration. The Publicis dispute resolution removes the largest idiosyncratic overhang, and any Q2 commentary on spend re-engagement will be the most closely watched element of the print.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