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Trade Desk (TTD) — Q2 2026 Earnings Preview</w:t>
      </w:r>
    </w:p>
    <w:p>
      <w:r>
        <w:rPr>
          <w:rFonts w:ascii="Calibri" w:hAnsi="Calibri"/>
          <w:b/>
          <w:color w:val="525866"/>
          <w:sz w:val="22"/>
        </w:rPr>
        <w:t xml:space="preserve">Earnings Date: </w:t>
      </w:r>
      <w:r>
        <w:rPr>
          <w:rFonts w:ascii="Calibri" w:hAnsi="Calibri"/>
          <w:color w:val="525866"/>
          <w:sz w:val="22"/>
        </w:rPr>
        <w:t xml:space="preserve">August 6, 2026  </w:t>
      </w:r>
      <w:r>
        <w:rPr>
          <w:rFonts w:ascii="Calibri" w:hAnsi="Calibri"/>
          <w:b/>
          <w:color w:val="525866"/>
          <w:sz w:val="22"/>
        </w:rPr>
        <w:t xml:space="preserve">Prepared: </w:t>
      </w:r>
      <w:r>
        <w:rPr>
          <w:rFonts w:ascii="Calibri" w:hAnsi="Calibri"/>
          <w:color w:val="525866"/>
          <w:sz w:val="22"/>
        </w:rPr>
        <w:t xml:space="preserve">August 5,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w:t>
      </w:r>
      <w:r>
        <w:rPr>
          <w:rFonts w:ascii="Calibri" w:hAnsi="Calibri"/>
          <w:b/>
          <w:color w:val="525866"/>
          <w:sz w:val="22"/>
        </w:rPr>
        <w:t>cautiously constructive but not clean</w:t>
      </w:r>
      <w:r>
        <w:rPr>
          <w:rFonts w:ascii="Calibri" w:hAnsi="Calibri"/>
          <w:color w:val="525866"/>
          <w:sz w:val="22"/>
        </w:rPr>
        <w:t xml:space="preserve"> — consensus has been largely anchored to management's own guidance floor of ≥$750M revenue and ~$260M adj. EBITDA since the May 7 print, leaving little room for a beat-driven re-rating; the </w:t>
      </w:r>
      <w:r>
        <w:rPr>
          <w:rFonts w:ascii="Calibri" w:hAnsi="Calibri"/>
          <w:b/>
          <w:color w:val="525866"/>
          <w:sz w:val="22"/>
        </w:rPr>
        <w:t>single biggest swing factor is whether macro/CPG headwinds have stabilized or worsened</w:t>
      </w:r>
      <w:r>
        <w:rPr>
          <w:rFonts w:ascii="Calibri" w:hAnsi="Calibri"/>
          <w:color w:val="525866"/>
          <w:sz w:val="22"/>
        </w:rPr>
        <w:t xml:space="preserve"> relative to the Q1 tone.</w:t>
      </w:r>
    </w:p>
    <w:p>
      <w:r>
        <w:rPr>
          <w:rFonts w:ascii="Calibri" w:hAnsi="Calibri"/>
          <w:color w:val="525866"/>
          <w:sz w:val="22"/>
        </w:rPr>
        <w:t xml:space="preserve">The bar heading into Q2 is effectively management-set: TTD guided revenue of </w:t>
      </w:r>
      <w:r>
        <w:rPr>
          <w:rFonts w:ascii="Calibri" w:hAnsi="Calibri"/>
          <w:b/>
          <w:color w:val="525866"/>
          <w:sz w:val="22"/>
        </w:rPr>
        <w:t>at least $750M</w:t>
      </w:r>
      <w:r>
        <w:rPr>
          <w:rFonts w:ascii="Calibri" w:hAnsi="Calibri"/>
          <w:color w:val="525866"/>
          <w:sz w:val="22"/>
        </w:rPr>
        <w:t xml:space="preserve"> and adj. EBITDA of </w:t>
      </w:r>
      <w:r>
        <w:rPr>
          <w:rFonts w:ascii="Calibri" w:hAnsi="Calibri"/>
          <w:b/>
          <w:color w:val="525866"/>
          <w:sz w:val="22"/>
        </w:rPr>
        <w:t>approximately $260M</w:t>
      </w:r>
      <w:r>
        <w:rPr>
          <w:rFonts w:ascii="Calibri" w:hAnsi="Calibri"/>
          <w:color w:val="525866"/>
          <w:sz w:val="22"/>
        </w:rPr>
        <w:t xml:space="preserve">, and consensus has barely moved since — sitting at ~$752M revenue and ~$262M adj. EBITDA as of August 5 — meaning the market is essentially pricing in a guidance-line print with no cushion. Management's tone on the Q1 call was notably cautious, citing a "cloudier macro environment," geopolitical uncertainty, tariff-driven CPG and auto headwinds, and the ongoing Publicis billing dispute, all of which contributed to a Q2 guide that came in meaningfully below prior Street expectations and drove a sharp post-earnings selloff. Estimate revisions since the print have been minimal and slightly negative on the full-year, suggesting analysts are not yet willing to extrapolate improvement. The stock has declined roughly </w:t>
      </w:r>
      <w:r>
        <w:rPr>
          <w:rFonts w:ascii="Calibri" w:hAnsi="Calibri"/>
          <w:b/>
          <w:color w:val="525866"/>
          <w:sz w:val="22"/>
        </w:rPr>
        <w:t>19% since the Q1 print</w:t>
      </w:r>
      <w:r>
        <w:rPr>
          <w:rFonts w:ascii="Calibri" w:hAnsi="Calibri"/>
          <w:color w:val="525866"/>
          <w:sz w:val="22"/>
        </w:rPr>
        <w:t xml:space="preserve"> (May 7 close ~$23.49 → ~$18.98 as of August 5), dramatically underperforming both XLC (−6%) and the S&amp;P 500 (+5%), with the multiple compressing from ~26x NTM EV/EBITDA to ~6x — a level that implies the market has largely de-rated TTD to a show-me story. The wildcard is </w:t>
      </w:r>
      <w:r>
        <w:rPr>
          <w:rFonts w:ascii="Calibri" w:hAnsi="Calibri"/>
          <w:b/>
          <w:color w:val="525866"/>
          <w:sz w:val="22"/>
        </w:rPr>
        <w:t>peer read-throughs from GOOGL, META, MGNI, SNAP, and PINS</w:t>
      </w:r>
      <w:r>
        <w:rPr>
          <w:rFonts w:ascii="Calibri" w:hAnsi="Calibri"/>
          <w:color w:val="525866"/>
          <w:sz w:val="22"/>
        </w:rPr>
        <w:t>, all of which reported Q2 results in the last two weeks and collectively painted a picture of healthy digital ad demand, strong CTV growth (MGNI CTV +36% YoY), and improving macro conditions — a backdrop that, if it held for TTD's open-internet DSP business, could support an in-line or modest beat; the key unknown is whether CPG brand budgets specifically recovered enough to offset the Q1 drag.</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anchored to management's own guidance floor, making this a </w:t>
      </w:r>
      <w:r>
        <w:rPr>
          <w:rFonts w:ascii="Calibri" w:hAnsi="Calibri"/>
          <w:b/>
          <w:color w:val="525866"/>
          <w:sz w:val="22"/>
        </w:rPr>
        <w:t>low-bar / guidance-line print</w:t>
      </w:r>
      <w:r>
        <w:rPr>
          <w:rFonts w:ascii="Calibri" w:hAnsi="Calibri"/>
          <w:color w:val="525866"/>
          <w:sz w:val="22"/>
        </w:rPr>
        <w:t xml:space="preserve"> rather than a high-bar setup. </w:t>
      </w:r>
      <w:r>
        <w:rPr>
          <w:rFonts w:ascii="Calibri" w:hAnsi="Calibri"/>
          <w:b/>
          <w:color w:val="525866"/>
          <w:sz w:val="22"/>
        </w:rPr>
        <w:t>Revenue is the primary swing factor</w:t>
      </w:r>
      <w:r>
        <w:rPr>
          <w:rFonts w:ascii="Calibri" w:hAnsi="Calibri"/>
          <w:color w:val="525866"/>
          <w:sz w:val="22"/>
        </w:rPr>
        <w:t>; adj. EBITDA is a secondary watch given the full-year ≥40% margin commitment.</w:t>
      </w:r>
    </w:p>
    <w:p>
      <w:pPr>
        <w:pStyle w:val="Heading3"/>
      </w:pPr>
      <w:r>
        <w:rPr>
          <w:rFonts w:ascii="Calibri" w:hAnsi="Calibri"/>
          <w:b/>
          <w:color w:val="3B4259"/>
          <w:sz w:val="24"/>
        </w:rPr>
        <w:t>Table 1 — Current Quarter Snapshot (Q2 2026,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Revenue ($M)</w:t>
            </w:r>
          </w:p>
        </w:tc>
        <w:tc>
          <w:tcPr>
            <w:tcW w:type="dxa" w:w="1234"/>
          </w:tcPr>
          <w:p>
            <w:r>
              <w:rPr>
                <w:rFonts w:ascii="Calibri" w:hAnsi="Calibri"/>
                <w:sz w:val="22"/>
              </w:rPr>
              <w:t>$688.9M</w:t>
            </w:r>
          </w:p>
        </w:tc>
        <w:tc>
          <w:tcPr>
            <w:tcW w:type="dxa" w:w="1234"/>
          </w:tcPr>
          <w:p>
            <w:r>
              <w:rPr>
                <w:rFonts w:ascii="Calibri" w:hAnsi="Calibri"/>
                <w:sz w:val="22"/>
              </w:rPr>
              <w:t>$694.0M</w:t>
            </w:r>
          </w:p>
        </w:tc>
        <w:tc>
          <w:tcPr>
            <w:tcW w:type="dxa" w:w="1234"/>
          </w:tcPr>
          <w:p>
            <w:r>
              <w:rPr>
                <w:rFonts w:ascii="Calibri" w:hAnsi="Calibri"/>
                <w:sz w:val="22"/>
              </w:rPr>
              <w:t>$752.1M</w:t>
            </w:r>
          </w:p>
        </w:tc>
        <w:tc>
          <w:tcPr>
            <w:tcW w:type="dxa" w:w="1234"/>
          </w:tcPr>
          <w:p>
            <w:r>
              <w:rPr>
                <w:rFonts w:ascii="Calibri" w:hAnsi="Calibri"/>
                <w:sz w:val="22"/>
              </w:rPr>
              <w:t>+8.4%</w:t>
            </w:r>
          </w:p>
        </w:tc>
        <w:tc>
          <w:tcPr>
            <w:tcW w:type="dxa" w:w="1234"/>
          </w:tcPr>
          <w:p>
            <w:r>
              <w:rPr>
                <w:rFonts w:ascii="Calibri" w:hAnsi="Calibri"/>
                <w:sz w:val="22"/>
              </w:rPr>
              <w:t>≥$750M</w:t>
            </w:r>
          </w:p>
        </w:tc>
        <w:tc>
          <w:tcPr>
            <w:tcW w:type="dxa" w:w="1234"/>
          </w:tcPr>
          <w:p>
            <w:r>
              <w:rPr>
                <w:rFonts w:ascii="Calibri" w:hAnsi="Calibri"/>
                <w:sz w:val="22"/>
              </w:rPr>
              <w:t>+0.3%</w:t>
            </w:r>
          </w:p>
        </w:tc>
      </w:tr>
      <w:tr>
        <w:tc>
          <w:tcPr>
            <w:tcW w:type="dxa" w:w="1234"/>
          </w:tcPr>
          <w:p>
            <w:r>
              <w:rPr>
                <w:rFonts w:ascii="Calibri" w:hAnsi="Calibri"/>
                <w:sz w:val="22"/>
              </w:rPr>
              <w:t>Adj. EBITDA ($M)</w:t>
            </w:r>
          </w:p>
        </w:tc>
        <w:tc>
          <w:tcPr>
            <w:tcW w:type="dxa" w:w="1234"/>
          </w:tcPr>
          <w:p>
            <w:r>
              <w:rPr>
                <w:rFonts w:ascii="Calibri" w:hAnsi="Calibri"/>
                <w:sz w:val="22"/>
              </w:rPr>
              <w:t>$206.1M</w:t>
            </w:r>
          </w:p>
        </w:tc>
        <w:tc>
          <w:tcPr>
            <w:tcW w:type="dxa" w:w="1234"/>
          </w:tcPr>
          <w:p>
            <w:r>
              <w:rPr>
                <w:rFonts w:ascii="Calibri" w:hAnsi="Calibri"/>
                <w:sz w:val="22"/>
              </w:rPr>
              <w:t>$270.8M</w:t>
            </w:r>
          </w:p>
        </w:tc>
        <w:tc>
          <w:tcPr>
            <w:tcW w:type="dxa" w:w="1234"/>
          </w:tcPr>
          <w:p>
            <w:r>
              <w:rPr>
                <w:rFonts w:ascii="Calibri" w:hAnsi="Calibri"/>
                <w:sz w:val="22"/>
              </w:rPr>
              <w:t>$262.5M</w:t>
            </w:r>
          </w:p>
        </w:tc>
        <w:tc>
          <w:tcPr>
            <w:tcW w:type="dxa" w:w="1234"/>
          </w:tcPr>
          <w:p>
            <w:r>
              <w:rPr>
                <w:rFonts w:ascii="Calibri" w:hAnsi="Calibri"/>
                <w:sz w:val="22"/>
              </w:rPr>
              <w:t>-3.0%</w:t>
            </w:r>
          </w:p>
        </w:tc>
        <w:tc>
          <w:tcPr>
            <w:tcW w:type="dxa" w:w="1234"/>
          </w:tcPr>
          <w:p>
            <w:r>
              <w:rPr>
                <w:rFonts w:ascii="Calibri" w:hAnsi="Calibri"/>
                <w:sz w:val="22"/>
              </w:rPr>
              <w:t>~$260M</w:t>
            </w:r>
          </w:p>
        </w:tc>
        <w:tc>
          <w:tcPr>
            <w:tcW w:type="dxa" w:w="1234"/>
          </w:tcPr>
          <w:p>
            <w:r>
              <w:rPr>
                <w:rFonts w:ascii="Calibri" w:hAnsi="Calibri"/>
                <w:sz w:val="22"/>
              </w:rPr>
              <w:t>+1.0%</w:t>
            </w:r>
          </w:p>
        </w:tc>
      </w:tr>
      <w:tr>
        <w:tc>
          <w:tcPr>
            <w:tcW w:type="dxa" w:w="1234"/>
          </w:tcPr>
          <w:p>
            <w:r>
              <w:rPr>
                <w:rFonts w:ascii="Calibri" w:hAnsi="Calibri"/>
                <w:sz w:val="22"/>
              </w:rPr>
              <w:t>Adj. EPS (Diluted, Operating)</w:t>
            </w:r>
          </w:p>
        </w:tc>
        <w:tc>
          <w:tcPr>
            <w:tcW w:type="dxa" w:w="1234"/>
          </w:tcPr>
          <w:p>
            <w:r>
              <w:rPr>
                <w:rFonts w:ascii="Calibri" w:hAnsi="Calibri"/>
                <w:sz w:val="22"/>
              </w:rPr>
              <w:t>$0.28</w:t>
            </w:r>
          </w:p>
        </w:tc>
        <w:tc>
          <w:tcPr>
            <w:tcW w:type="dxa" w:w="1234"/>
          </w:tcPr>
          <w:p>
            <w:r>
              <w:rPr>
                <w:rFonts w:ascii="Calibri" w:hAnsi="Calibri"/>
                <w:sz w:val="22"/>
              </w:rPr>
              <w:t>$0.41</w:t>
            </w:r>
          </w:p>
        </w:tc>
        <w:tc>
          <w:tcPr>
            <w:tcW w:type="dxa" w:w="1234"/>
          </w:tcPr>
          <w:p>
            <w:r>
              <w:rPr>
                <w:rFonts w:ascii="Calibri" w:hAnsi="Calibri"/>
                <w:sz w:val="22"/>
              </w:rPr>
              <w:t>$0.40</w:t>
            </w:r>
          </w:p>
        </w:tc>
        <w:tc>
          <w:tcPr>
            <w:tcW w:type="dxa" w:w="1234"/>
          </w:tcPr>
          <w:p>
            <w:r>
              <w:rPr>
                <w:rFonts w:ascii="Calibri" w:hAnsi="Calibri"/>
                <w:sz w:val="22"/>
              </w:rPr>
              <w:t>-2.4%</w:t>
            </w:r>
          </w:p>
        </w:tc>
        <w:tc>
          <w:tcPr>
            <w:tcW w:type="dxa" w:w="1234"/>
          </w:tcPr>
          <w:p>
            <w:r>
              <w:rPr>
                <w:rFonts w:ascii="Calibri" w:hAnsi="Calibri"/>
                <w:sz w:val="22"/>
              </w:rPr>
              <w:t>N/A (no EPS guidance)</w:t>
            </w:r>
          </w:p>
        </w:tc>
        <w:tc>
          <w:tcPr>
            <w:tcW w:type="dxa" w:w="1234"/>
          </w:tcPr>
          <w:p>
            <w:r>
              <w:rPr>
                <w:rFonts w:ascii="Calibri" w:hAnsi="Calibri"/>
                <w:sz w:val="22"/>
              </w:rPr>
              <w:t>N/A</w:t>
            </w:r>
          </w:p>
        </w:tc>
      </w:tr>
      <w:tr>
        <w:tc>
          <w:tcPr>
            <w:tcW w:type="dxa" w:w="1234"/>
          </w:tcPr>
          <w:p>
            <w:r>
              <w:rPr>
                <w:rFonts w:ascii="Calibri" w:hAnsi="Calibri"/>
                <w:sz w:val="22"/>
              </w:rPr>
              <w:t>Gross Spend ($B)</w:t>
            </w:r>
          </w:p>
        </w:tc>
        <w:tc>
          <w:tcPr>
            <w:tcW w:type="dxa" w:w="1234"/>
          </w:tcPr>
          <w:p>
            <w:r>
              <w:rPr>
                <w:rFonts w:ascii="Calibri" w:hAnsi="Calibri"/>
                <w:sz w:val="22"/>
              </w:rPr>
              <w:t>$3.26B</w:t>
            </w:r>
          </w:p>
        </w:tc>
        <w:tc>
          <w:tcPr>
            <w:tcW w:type="dxa" w:w="1234"/>
          </w:tcPr>
          <w:p>
            <w:r>
              <w:rPr>
                <w:rFonts w:ascii="Calibri" w:hAnsi="Calibri"/>
                <w:sz w:val="22"/>
              </w:rPr>
              <w:t>$3.23B</w:t>
            </w:r>
          </w:p>
        </w:tc>
        <w:tc>
          <w:tcPr>
            <w:tcW w:type="dxa" w:w="1234"/>
          </w:tcPr>
          <w:p>
            <w:r>
              <w:rPr>
                <w:rFonts w:ascii="Calibri" w:hAnsi="Calibri"/>
                <w:sz w:val="22"/>
              </w:rPr>
              <w:t>$3.52B</w:t>
            </w:r>
          </w:p>
        </w:tc>
        <w:tc>
          <w:tcPr>
            <w:tcW w:type="dxa" w:w="1234"/>
          </w:tcPr>
          <w:p>
            <w:r>
              <w:rPr>
                <w:rFonts w:ascii="Calibri" w:hAnsi="Calibri"/>
                <w:sz w:val="22"/>
              </w:rPr>
              <w:t>+9.0%</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Customer Retention Rate (%)</w:t>
            </w:r>
          </w:p>
        </w:tc>
        <w:tc>
          <w:tcPr>
            <w:tcW w:type="dxa" w:w="1234"/>
          </w:tcPr>
          <w:p>
            <w:r>
              <w:rPr>
                <w:rFonts w:ascii="Calibri" w:hAnsi="Calibri"/>
                <w:sz w:val="22"/>
              </w:rPr>
              <w:t>95%</w:t>
            </w:r>
          </w:p>
        </w:tc>
        <w:tc>
          <w:tcPr>
            <w:tcW w:type="dxa" w:w="1234"/>
          </w:tcPr>
          <w:p>
            <w:r>
              <w:rPr>
                <w:rFonts w:ascii="Calibri" w:hAnsi="Calibri"/>
                <w:sz w:val="22"/>
              </w:rPr>
              <w:t>95%</w:t>
            </w:r>
          </w:p>
        </w:tc>
        <w:tc>
          <w:tcPr>
            <w:tcW w:type="dxa" w:w="1234"/>
          </w:tcPr>
          <w:p>
            <w:r>
              <w:rPr>
                <w:rFonts w:ascii="Calibri" w:hAnsi="Calibri"/>
                <w:sz w:val="22"/>
              </w:rPr>
              <w:t>N/A — not in VA</w:t>
            </w:r>
          </w:p>
        </w:tc>
        <w:tc>
          <w:tcPr>
            <w:tcW w:type="dxa" w:w="1234"/>
          </w:tcPr>
          <w:p>
            <w:r>
              <w:rPr>
                <w:rFonts w:ascii="Calibri" w:hAnsi="Calibri"/>
                <w:sz w:val="22"/>
              </w:rPr>
              <w:t>Flat</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from TTD Q1 2026 Earnings Release (May 7, 2026). Revenue consensus $752.1M; Adj. EBITDA consensus $262.5M; Adj. EPS consensus $0.40; Gross Spend consensus $3.52B.</w:t>
      </w:r>
    </w:p>
    <w:p>
      <w:pPr>
        <w:pStyle w:val="Heading3"/>
      </w:pPr>
      <w:r>
        <w:rPr>
          <w:rFonts w:ascii="Calibri" w:hAnsi="Calibri"/>
          <w:b/>
          <w:color w:val="3B4259"/>
          <w:sz w:val="24"/>
        </w:rPr>
        <w:t>Table 2 — Beat/Miss History (Last 8 Quarters, Revenue &amp; Adj. EBITDA)</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($M)</w:t>
            </w:r>
          </w:p>
        </w:tc>
        <w:tc>
          <w:tcPr>
            <w:tcW w:type="dxa" w:w="1080"/>
            <w:shd w:val="clear" w:color="auto" w:fill="3B4259"/>
          </w:tcPr>
          <w:p>
            <w:r>
              <w:rPr>
                <w:rFonts w:ascii="Calibri" w:hAnsi="Calibri"/>
                <w:b/>
                <w:color w:val="FFFFFF"/>
                <w:sz w:val="22"/>
              </w:rPr>
              <w:t>Revenue Consensus ($M)</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Adj. EBITDA Reported ($M)</w:t>
            </w:r>
          </w:p>
        </w:tc>
        <w:tc>
          <w:tcPr>
            <w:tcW w:type="dxa" w:w="1080"/>
            <w:shd w:val="clear" w:color="auto" w:fill="3B4259"/>
          </w:tcPr>
          <w:p>
            <w:r>
              <w:rPr>
                <w:rFonts w:ascii="Calibri" w:hAnsi="Calibri"/>
                <w:b/>
                <w:color w:val="FFFFFF"/>
                <w:sz w:val="22"/>
              </w:rPr>
              <w:t>Adj. EBITDA Consensus ($M)</w:t>
            </w:r>
          </w:p>
        </w:tc>
        <w:tc>
          <w:tcPr>
            <w:tcW w:type="dxa" w:w="1080"/>
            <w:shd w:val="clear" w:color="auto" w:fill="3B4259"/>
          </w:tcPr>
          <w:p>
            <w:r>
              <w:rPr>
                <w:rFonts w:ascii="Calibri" w:hAnsi="Calibri"/>
                <w:b/>
                <w:color w:val="FFFFFF"/>
                <w:sz w:val="22"/>
              </w:rPr>
              <w:t>EBITDA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Q3 2024</w:t>
            </w:r>
          </w:p>
        </w:tc>
        <w:tc>
          <w:tcPr>
            <w:tcW w:type="dxa" w:w="1080"/>
          </w:tcPr>
          <w:p>
            <w:r>
              <w:rPr>
                <w:rFonts w:ascii="Calibri" w:hAnsi="Calibri"/>
                <w:sz w:val="22"/>
              </w:rPr>
              <w:t>$628.0M</w:t>
            </w:r>
          </w:p>
        </w:tc>
        <w:tc>
          <w:tcPr>
            <w:tcW w:type="dxa" w:w="1080"/>
          </w:tcPr>
          <w:p>
            <w:r>
              <w:rPr>
                <w:rFonts w:ascii="Calibri" w:hAnsi="Calibri"/>
                <w:sz w:val="22"/>
              </w:rPr>
              <w:t>$620.6M</w:t>
            </w:r>
          </w:p>
        </w:tc>
        <w:tc>
          <w:tcPr>
            <w:tcW w:type="dxa" w:w="1080"/>
          </w:tcPr>
          <w:p>
            <w:r>
              <w:rPr>
                <w:rFonts w:ascii="Calibri" w:hAnsi="Calibri"/>
                <w:b/>
                <w:color w:val="30A46C"/>
                <w:sz w:val="22"/>
              </w:rPr>
              <w:t>+1.2%</w:t>
            </w:r>
          </w:p>
        </w:tc>
        <w:tc>
          <w:tcPr>
            <w:tcW w:type="dxa" w:w="1080"/>
          </w:tcPr>
          <w:p>
            <w:r>
              <w:rPr>
                <w:rFonts w:ascii="Calibri" w:hAnsi="Calibri"/>
                <w:sz w:val="22"/>
              </w:rPr>
              <w:t>$257.0M</w:t>
            </w:r>
          </w:p>
        </w:tc>
        <w:tc>
          <w:tcPr>
            <w:tcW w:type="dxa" w:w="1080"/>
          </w:tcPr>
          <w:p>
            <w:r>
              <w:rPr>
                <w:rFonts w:ascii="Calibri" w:hAnsi="Calibri"/>
                <w:sz w:val="22"/>
              </w:rPr>
              <w:t>$253.5M</w:t>
            </w:r>
          </w:p>
        </w:tc>
        <w:tc>
          <w:tcPr>
            <w:tcW w:type="dxa" w:w="1080"/>
          </w:tcPr>
          <w:p>
            <w:r>
              <w:rPr>
                <w:rFonts w:ascii="Calibri" w:hAnsi="Calibri"/>
                <w:b/>
                <w:color w:val="30A46C"/>
                <w:sz w:val="22"/>
              </w:rPr>
              <w:t>+1.4%</w:t>
            </w:r>
          </w:p>
        </w:tc>
        <w:tc>
          <w:tcPr>
            <w:tcW w:type="dxa" w:w="1080"/>
          </w:tcPr>
          <w:p>
            <w:r>
              <w:rPr>
                <w:rFonts w:ascii="Calibri" w:hAnsi="Calibri"/>
                <w:sz w:val="22"/>
              </w:rPr>
              <w:t>Beat / Beat</w:t>
            </w:r>
          </w:p>
        </w:tc>
      </w:tr>
      <w:tr>
        <w:tc>
          <w:tcPr>
            <w:tcW w:type="dxa" w:w="1080"/>
          </w:tcPr>
          <w:p>
            <w:r>
              <w:rPr>
                <w:rFonts w:ascii="Calibri" w:hAnsi="Calibri"/>
                <w:sz w:val="22"/>
              </w:rPr>
              <w:t>Q4 2024</w:t>
            </w:r>
          </w:p>
        </w:tc>
        <w:tc>
          <w:tcPr>
            <w:tcW w:type="dxa" w:w="1080"/>
          </w:tcPr>
          <w:p>
            <w:r>
              <w:rPr>
                <w:rFonts w:ascii="Calibri" w:hAnsi="Calibri"/>
                <w:sz w:val="22"/>
              </w:rPr>
              <w:t>$741.0M</w:t>
            </w:r>
          </w:p>
        </w:tc>
        <w:tc>
          <w:tcPr>
            <w:tcW w:type="dxa" w:w="1080"/>
          </w:tcPr>
          <w:p>
            <w:r>
              <w:rPr>
                <w:rFonts w:ascii="Calibri" w:hAnsi="Calibri"/>
                <w:sz w:val="22"/>
              </w:rPr>
              <w:t>$758.4M</w:t>
            </w:r>
          </w:p>
        </w:tc>
        <w:tc>
          <w:tcPr>
            <w:tcW w:type="dxa" w:w="1080"/>
          </w:tcPr>
          <w:p>
            <w:r>
              <w:rPr>
                <w:rFonts w:ascii="Calibri" w:hAnsi="Calibri"/>
                <w:b/>
                <w:color w:val="E5484D"/>
                <w:sz w:val="22"/>
              </w:rPr>
              <w:t>-2.3%</w:t>
            </w:r>
          </w:p>
        </w:tc>
        <w:tc>
          <w:tcPr>
            <w:tcW w:type="dxa" w:w="1080"/>
          </w:tcPr>
          <w:p>
            <w:r>
              <w:rPr>
                <w:rFonts w:ascii="Calibri" w:hAnsi="Calibri"/>
                <w:sz w:val="22"/>
              </w:rPr>
              <w:t>$350.0M</w:t>
            </w:r>
          </w:p>
        </w:tc>
        <w:tc>
          <w:tcPr>
            <w:tcW w:type="dxa" w:w="1080"/>
          </w:tcPr>
          <w:p>
            <w:r>
              <w:rPr>
                <w:rFonts w:ascii="Calibri" w:hAnsi="Calibri"/>
                <w:sz w:val="22"/>
              </w:rPr>
              <w:t>$365.2M</w:t>
            </w:r>
          </w:p>
        </w:tc>
        <w:tc>
          <w:tcPr>
            <w:tcW w:type="dxa" w:w="1080"/>
          </w:tcPr>
          <w:p>
            <w:r>
              <w:rPr>
                <w:rFonts w:ascii="Calibri" w:hAnsi="Calibri"/>
                <w:b/>
                <w:color w:val="E5484D"/>
                <w:sz w:val="22"/>
              </w:rPr>
              <w:t>-4.2%</w:t>
            </w:r>
          </w:p>
        </w:tc>
        <w:tc>
          <w:tcPr>
            <w:tcW w:type="dxa" w:w="1080"/>
          </w:tcPr>
          <w:p>
            <w:r>
              <w:rPr>
                <w:rFonts w:ascii="Calibri" w:hAnsi="Calibri"/>
                <w:sz w:val="22"/>
              </w:rPr>
              <w:t>Miss / Miss</w:t>
            </w:r>
          </w:p>
        </w:tc>
      </w:tr>
      <w:tr>
        <w:tc>
          <w:tcPr>
            <w:tcW w:type="dxa" w:w="1080"/>
          </w:tcPr>
          <w:p>
            <w:r>
              <w:rPr>
                <w:rFonts w:ascii="Calibri" w:hAnsi="Calibri"/>
                <w:sz w:val="22"/>
              </w:rPr>
              <w:t>Q1 2025</w:t>
            </w:r>
          </w:p>
        </w:tc>
        <w:tc>
          <w:tcPr>
            <w:tcW w:type="dxa" w:w="1080"/>
          </w:tcPr>
          <w:p>
            <w:r>
              <w:rPr>
                <w:rFonts w:ascii="Calibri" w:hAnsi="Calibri"/>
                <w:sz w:val="22"/>
              </w:rPr>
              <w:t>$616.0M</w:t>
            </w:r>
          </w:p>
        </w:tc>
        <w:tc>
          <w:tcPr>
            <w:tcW w:type="dxa" w:w="1080"/>
          </w:tcPr>
          <w:p>
            <w:r>
              <w:rPr>
                <w:rFonts w:ascii="Calibri" w:hAnsi="Calibri"/>
                <w:sz w:val="22"/>
              </w:rPr>
              <w:t>$575.6M</w:t>
            </w:r>
          </w:p>
        </w:tc>
        <w:tc>
          <w:tcPr>
            <w:tcW w:type="dxa" w:w="1080"/>
          </w:tcPr>
          <w:p>
            <w:r>
              <w:rPr>
                <w:rFonts w:ascii="Calibri" w:hAnsi="Calibri"/>
                <w:b/>
                <w:color w:val="30A46C"/>
                <w:sz w:val="22"/>
              </w:rPr>
              <w:t>+7.0%</w:t>
            </w:r>
          </w:p>
        </w:tc>
        <w:tc>
          <w:tcPr>
            <w:tcW w:type="dxa" w:w="1080"/>
          </w:tcPr>
          <w:p>
            <w:r>
              <w:rPr>
                <w:rFonts w:ascii="Calibri" w:hAnsi="Calibri"/>
                <w:sz w:val="22"/>
              </w:rPr>
              <w:t>$207.9M</w:t>
            </w:r>
          </w:p>
        </w:tc>
        <w:tc>
          <w:tcPr>
            <w:tcW w:type="dxa" w:w="1080"/>
          </w:tcPr>
          <w:p>
            <w:r>
              <w:rPr>
                <w:rFonts w:ascii="Calibri" w:hAnsi="Calibri"/>
                <w:sz w:val="22"/>
              </w:rPr>
              <w:t>$148.7M</w:t>
            </w:r>
          </w:p>
        </w:tc>
        <w:tc>
          <w:tcPr>
            <w:tcW w:type="dxa" w:w="1080"/>
          </w:tcPr>
          <w:p>
            <w:r>
              <w:rPr>
                <w:rFonts w:ascii="Calibri" w:hAnsi="Calibri"/>
                <w:b/>
                <w:color w:val="30A46C"/>
                <w:sz w:val="22"/>
              </w:rPr>
              <w:t>+39.8%</w:t>
            </w:r>
          </w:p>
        </w:tc>
        <w:tc>
          <w:tcPr>
            <w:tcW w:type="dxa" w:w="1080"/>
          </w:tcPr>
          <w:p>
            <w:r>
              <w:rPr>
                <w:rFonts w:ascii="Calibri" w:hAnsi="Calibri"/>
                <w:sz w:val="22"/>
              </w:rPr>
              <w:t>Beat / Beat</w:t>
            </w:r>
          </w:p>
        </w:tc>
      </w:tr>
      <w:tr>
        <w:tc>
          <w:tcPr>
            <w:tcW w:type="dxa" w:w="1080"/>
          </w:tcPr>
          <w:p>
            <w:r>
              <w:rPr>
                <w:rFonts w:ascii="Calibri" w:hAnsi="Calibri"/>
                <w:sz w:val="22"/>
              </w:rPr>
              <w:t>Q2 2025</w:t>
            </w:r>
          </w:p>
        </w:tc>
        <w:tc>
          <w:tcPr>
            <w:tcW w:type="dxa" w:w="1080"/>
          </w:tcPr>
          <w:p>
            <w:r>
              <w:rPr>
                <w:rFonts w:ascii="Calibri" w:hAnsi="Calibri"/>
                <w:sz w:val="22"/>
              </w:rPr>
              <w:t>$694.0M</w:t>
            </w:r>
          </w:p>
        </w:tc>
        <w:tc>
          <w:tcPr>
            <w:tcW w:type="dxa" w:w="1080"/>
          </w:tcPr>
          <w:p>
            <w:r>
              <w:rPr>
                <w:rFonts w:ascii="Calibri" w:hAnsi="Calibri"/>
                <w:sz w:val="22"/>
              </w:rPr>
              <w:t>$685.9M</w:t>
            </w:r>
          </w:p>
        </w:tc>
        <w:tc>
          <w:tcPr>
            <w:tcW w:type="dxa" w:w="1080"/>
          </w:tcPr>
          <w:p>
            <w:r>
              <w:rPr>
                <w:rFonts w:ascii="Calibri" w:hAnsi="Calibri"/>
                <w:b/>
                <w:color w:val="30A46C"/>
                <w:sz w:val="22"/>
              </w:rPr>
              <w:t>+1.2%</w:t>
            </w:r>
          </w:p>
        </w:tc>
        <w:tc>
          <w:tcPr>
            <w:tcW w:type="dxa" w:w="1080"/>
          </w:tcPr>
          <w:p>
            <w:r>
              <w:rPr>
                <w:rFonts w:ascii="Calibri" w:hAnsi="Calibri"/>
                <w:sz w:val="22"/>
              </w:rPr>
              <w:t>$270.8M</w:t>
            </w:r>
          </w:p>
        </w:tc>
        <w:tc>
          <w:tcPr>
            <w:tcW w:type="dxa" w:w="1080"/>
          </w:tcPr>
          <w:p>
            <w:r>
              <w:rPr>
                <w:rFonts w:ascii="Calibri" w:hAnsi="Calibri"/>
                <w:sz w:val="22"/>
              </w:rPr>
              <w:t>$261.6M</w:t>
            </w:r>
          </w:p>
        </w:tc>
        <w:tc>
          <w:tcPr>
            <w:tcW w:type="dxa" w:w="1080"/>
          </w:tcPr>
          <w:p>
            <w:r>
              <w:rPr>
                <w:rFonts w:ascii="Calibri" w:hAnsi="Calibri"/>
                <w:b/>
                <w:color w:val="30A46C"/>
                <w:sz w:val="22"/>
              </w:rPr>
              <w:t>+3.5%</w:t>
            </w:r>
          </w:p>
        </w:tc>
        <w:tc>
          <w:tcPr>
            <w:tcW w:type="dxa" w:w="1080"/>
          </w:tcPr>
          <w:p>
            <w:r>
              <w:rPr>
                <w:rFonts w:ascii="Calibri" w:hAnsi="Calibri"/>
                <w:sz w:val="22"/>
              </w:rPr>
              <w:t>Beat / Beat</w:t>
            </w:r>
          </w:p>
        </w:tc>
      </w:tr>
      <w:tr>
        <w:tc>
          <w:tcPr>
            <w:tcW w:type="dxa" w:w="1080"/>
          </w:tcPr>
          <w:p>
            <w:r>
              <w:rPr>
                <w:rFonts w:ascii="Calibri" w:hAnsi="Calibri"/>
                <w:sz w:val="22"/>
              </w:rPr>
              <w:t>Q3 2025</w:t>
            </w:r>
          </w:p>
        </w:tc>
        <w:tc>
          <w:tcPr>
            <w:tcW w:type="dxa" w:w="1080"/>
          </w:tcPr>
          <w:p>
            <w:r>
              <w:rPr>
                <w:rFonts w:ascii="Calibri" w:hAnsi="Calibri"/>
                <w:sz w:val="22"/>
              </w:rPr>
              <w:t>$739.4M</w:t>
            </w:r>
          </w:p>
        </w:tc>
        <w:tc>
          <w:tcPr>
            <w:tcW w:type="dxa" w:w="1080"/>
          </w:tcPr>
          <w:p>
            <w:r>
              <w:rPr>
                <w:rFonts w:ascii="Calibri" w:hAnsi="Calibri"/>
                <w:sz w:val="22"/>
              </w:rPr>
              <w:t>$719.4M</w:t>
            </w:r>
          </w:p>
        </w:tc>
        <w:tc>
          <w:tcPr>
            <w:tcW w:type="dxa" w:w="1080"/>
          </w:tcPr>
          <w:p>
            <w:r>
              <w:rPr>
                <w:rFonts w:ascii="Calibri" w:hAnsi="Calibri"/>
                <w:b/>
                <w:color w:val="30A46C"/>
                <w:sz w:val="22"/>
              </w:rPr>
              <w:t>+2.8%</w:t>
            </w:r>
          </w:p>
        </w:tc>
        <w:tc>
          <w:tcPr>
            <w:tcW w:type="dxa" w:w="1080"/>
          </w:tcPr>
          <w:p>
            <w:r>
              <w:rPr>
                <w:rFonts w:ascii="Calibri" w:hAnsi="Calibri"/>
                <w:sz w:val="22"/>
              </w:rPr>
              <w:t>$317.5M</w:t>
            </w:r>
          </w:p>
        </w:tc>
        <w:tc>
          <w:tcPr>
            <w:tcW w:type="dxa" w:w="1080"/>
          </w:tcPr>
          <w:p>
            <w:r>
              <w:rPr>
                <w:rFonts w:ascii="Calibri" w:hAnsi="Calibri"/>
                <w:sz w:val="22"/>
              </w:rPr>
              <w:t>$278.1M</w:t>
            </w:r>
          </w:p>
        </w:tc>
        <w:tc>
          <w:tcPr>
            <w:tcW w:type="dxa" w:w="1080"/>
          </w:tcPr>
          <w:p>
            <w:r>
              <w:rPr>
                <w:rFonts w:ascii="Calibri" w:hAnsi="Calibri"/>
                <w:b/>
                <w:color w:val="30A46C"/>
                <w:sz w:val="22"/>
              </w:rPr>
              <w:t>+14.2%</w:t>
            </w:r>
          </w:p>
        </w:tc>
        <w:tc>
          <w:tcPr>
            <w:tcW w:type="dxa" w:w="1080"/>
          </w:tcPr>
          <w:p>
            <w:r>
              <w:rPr>
                <w:rFonts w:ascii="Calibri" w:hAnsi="Calibri"/>
                <w:sz w:val="22"/>
              </w:rPr>
              <w:t>Beat / Beat</w:t>
            </w:r>
          </w:p>
        </w:tc>
      </w:tr>
      <w:tr>
        <w:tc>
          <w:tcPr>
            <w:tcW w:type="dxa" w:w="1080"/>
          </w:tcPr>
          <w:p>
            <w:r>
              <w:rPr>
                <w:rFonts w:ascii="Calibri" w:hAnsi="Calibri"/>
                <w:sz w:val="22"/>
              </w:rPr>
              <w:t>Q4 2025</w:t>
            </w:r>
          </w:p>
        </w:tc>
        <w:tc>
          <w:tcPr>
            <w:tcW w:type="dxa" w:w="1080"/>
          </w:tcPr>
          <w:p>
            <w:r>
              <w:rPr>
                <w:rFonts w:ascii="Calibri" w:hAnsi="Calibri"/>
                <w:sz w:val="22"/>
              </w:rPr>
              <w:t>$846.8M</w:t>
            </w:r>
          </w:p>
        </w:tc>
        <w:tc>
          <w:tcPr>
            <w:tcW w:type="dxa" w:w="1080"/>
          </w:tcPr>
          <w:p>
            <w:r>
              <w:rPr>
                <w:rFonts w:ascii="Calibri" w:hAnsi="Calibri"/>
                <w:sz w:val="22"/>
              </w:rPr>
              <w:t>$841.9M</w:t>
            </w:r>
          </w:p>
        </w:tc>
        <w:tc>
          <w:tcPr>
            <w:tcW w:type="dxa" w:w="1080"/>
          </w:tcPr>
          <w:p>
            <w:r>
              <w:rPr>
                <w:rFonts w:ascii="Calibri" w:hAnsi="Calibri"/>
                <w:b/>
                <w:color w:val="30A46C"/>
                <w:sz w:val="22"/>
              </w:rPr>
              <w:t>+0.6%</w:t>
            </w:r>
          </w:p>
        </w:tc>
        <w:tc>
          <w:tcPr>
            <w:tcW w:type="dxa" w:w="1080"/>
          </w:tcPr>
          <w:p>
            <w:r>
              <w:rPr>
                <w:rFonts w:ascii="Calibri" w:hAnsi="Calibri"/>
                <w:sz w:val="22"/>
              </w:rPr>
              <w:t>$400.3M</w:t>
            </w:r>
          </w:p>
        </w:tc>
        <w:tc>
          <w:tcPr>
            <w:tcW w:type="dxa" w:w="1080"/>
          </w:tcPr>
          <w:p>
            <w:r>
              <w:rPr>
                <w:rFonts w:ascii="Calibri" w:hAnsi="Calibri"/>
                <w:sz w:val="22"/>
              </w:rPr>
              <w:t>$377.6M</w:t>
            </w:r>
          </w:p>
        </w:tc>
        <w:tc>
          <w:tcPr>
            <w:tcW w:type="dxa" w:w="1080"/>
          </w:tcPr>
          <w:p>
            <w:r>
              <w:rPr>
                <w:rFonts w:ascii="Calibri" w:hAnsi="Calibri"/>
                <w:b/>
                <w:color w:val="30A46C"/>
                <w:sz w:val="22"/>
              </w:rPr>
              <w:t>+6.0%</w:t>
            </w:r>
          </w:p>
        </w:tc>
        <w:tc>
          <w:tcPr>
            <w:tcW w:type="dxa" w:w="1080"/>
          </w:tcPr>
          <w:p>
            <w:r>
              <w:rPr>
                <w:rFonts w:ascii="Calibri" w:hAnsi="Calibri"/>
                <w:sz w:val="22"/>
              </w:rPr>
              <w:t>Beat / Beat</w:t>
            </w:r>
          </w:p>
        </w:tc>
      </w:tr>
      <w:tr>
        <w:tc>
          <w:tcPr>
            <w:tcW w:type="dxa" w:w="1080"/>
          </w:tcPr>
          <w:p>
            <w:r>
              <w:rPr>
                <w:rFonts w:ascii="Calibri" w:hAnsi="Calibri"/>
                <w:sz w:val="22"/>
              </w:rPr>
              <w:t>Q1 2026</w:t>
            </w:r>
          </w:p>
        </w:tc>
        <w:tc>
          <w:tcPr>
            <w:tcW w:type="dxa" w:w="1080"/>
          </w:tcPr>
          <w:p>
            <w:r>
              <w:rPr>
                <w:rFonts w:ascii="Calibri" w:hAnsi="Calibri"/>
                <w:sz w:val="22"/>
              </w:rPr>
              <w:t>$688.9M</w:t>
            </w:r>
          </w:p>
        </w:tc>
        <w:tc>
          <w:tcPr>
            <w:tcW w:type="dxa" w:w="1080"/>
          </w:tcPr>
          <w:p>
            <w:r>
              <w:rPr>
                <w:rFonts w:ascii="Calibri" w:hAnsi="Calibri"/>
                <w:sz w:val="22"/>
              </w:rPr>
              <w:t>$679.1M</w:t>
            </w:r>
          </w:p>
        </w:tc>
        <w:tc>
          <w:tcPr>
            <w:tcW w:type="dxa" w:w="1080"/>
          </w:tcPr>
          <w:p>
            <w:r>
              <w:rPr>
                <w:rFonts w:ascii="Calibri" w:hAnsi="Calibri"/>
                <w:b/>
                <w:color w:val="30A46C"/>
                <w:sz w:val="22"/>
              </w:rPr>
              <w:t>+1.4%</w:t>
            </w:r>
          </w:p>
        </w:tc>
        <w:tc>
          <w:tcPr>
            <w:tcW w:type="dxa" w:w="1080"/>
          </w:tcPr>
          <w:p>
            <w:r>
              <w:rPr>
                <w:rFonts w:ascii="Calibri" w:hAnsi="Calibri"/>
                <w:sz w:val="22"/>
              </w:rPr>
              <w:t>$206.1M</w:t>
            </w:r>
          </w:p>
        </w:tc>
        <w:tc>
          <w:tcPr>
            <w:tcW w:type="dxa" w:w="1080"/>
          </w:tcPr>
          <w:p>
            <w:r>
              <w:rPr>
                <w:rFonts w:ascii="Calibri" w:hAnsi="Calibri"/>
                <w:sz w:val="22"/>
              </w:rPr>
              <w:t>$198.3M</w:t>
            </w:r>
          </w:p>
        </w:tc>
        <w:tc>
          <w:tcPr>
            <w:tcW w:type="dxa" w:w="1080"/>
          </w:tcPr>
          <w:p>
            <w:r>
              <w:rPr>
                <w:rFonts w:ascii="Calibri" w:hAnsi="Calibri"/>
                <w:b/>
                <w:color w:val="30A46C"/>
                <w:sz w:val="22"/>
              </w:rPr>
              <w:t>+3.9%</w:t>
            </w:r>
          </w:p>
        </w:tc>
        <w:tc>
          <w:tcPr>
            <w:tcW w:type="dxa" w:w="1080"/>
          </w:tcPr>
          <w:p>
            <w:r>
              <w:rPr>
                <w:rFonts w:ascii="Calibri" w:hAnsi="Calibri"/>
                <w:sz w:val="22"/>
              </w:rPr>
              <w:t>Beat / Beat</w:t>
            </w:r>
          </w:p>
        </w:tc>
      </w:tr>
      <w:tr>
        <w:tc>
          <w:tcPr>
            <w:tcW w:type="dxa" w:w="1080"/>
          </w:tcPr>
          <w:p>
            <w:r>
              <w:rPr>
                <w:rFonts w:ascii="Calibri" w:hAnsi="Calibri"/>
                <w:sz w:val="22"/>
              </w:rPr>
              <w:t>Q2 2026E</w:t>
            </w:r>
          </w:p>
        </w:tc>
        <w:tc>
          <w:tcPr>
            <w:tcW w:type="dxa" w:w="1080"/>
          </w:tcPr>
          <w:p>
            <w:r>
              <w:rPr>
                <w:rFonts w:ascii="Calibri" w:hAnsi="Calibri"/>
                <w:sz w:val="22"/>
              </w:rPr>
              <w:t>—</w:t>
            </w:r>
          </w:p>
        </w:tc>
        <w:tc>
          <w:tcPr>
            <w:tcW w:type="dxa" w:w="1080"/>
          </w:tcPr>
          <w:p>
            <w:r>
              <w:rPr>
                <w:rFonts w:ascii="Calibri" w:hAnsi="Calibri"/>
                <w:sz w:val="22"/>
              </w:rPr>
              <w:t>$752.1M</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$262.5M</w:t>
            </w:r>
          </w:p>
        </w:tc>
        <w:tc>
          <w:tcPr>
            <w:tcW w:type="dxa" w:w="1080"/>
          </w:tcPr>
          <w:p>
            <w:r>
              <w:rPr>
                <w:rFonts w:ascii="Calibri" w:hAnsi="Calibri"/>
                <w:sz w:val="22"/>
              </w:rPr>
              <w:t>—</w:t>
            </w:r>
          </w:p>
        </w:tc>
        <w:tc>
          <w:tcPr>
            <w:tcW w:type="dxa" w:w="1080"/>
          </w:tcPr>
          <w:p>
            <w:r>
              <w:rPr>
                <w:rFonts w:ascii="Calibri" w:hAnsi="Calibri"/>
                <w:sz w:val="22"/>
              </w:rPr>
              <w:t>Reporting 8/6/26</w:t>
            </w:r>
          </w:p>
        </w:tc>
      </w:tr>
    </w:tbl>
    <w:p>
      <w:r>
        <w:rPr>
          <w:rFonts w:ascii="Calibri" w:hAnsi="Calibri"/>
          <w:b/>
          <w:color w:val="525866"/>
          <w:sz w:val="22"/>
        </w:rPr>
        <w:t xml:space="preserve">Pattern: </w:t>
      </w:r>
      <w:r>
        <w:rPr>
          <w:rFonts w:ascii="Calibri" w:hAnsi="Calibri"/>
          <w:i/>
          <w:color w:val="525866"/>
          <w:sz w:val="22"/>
        </w:rPr>
        <w:t>TTD has beaten revenue consensus in 6 of the last 7 reported quarters, with the lone miss in Q4 2024 (the quarter that triggered the initial de-rating). EBITDA beats have been consistent and often large, suggesting management guides conservatively on profitability. The Q2 2026 bar is set at guidance-floor levels, continuing the pattern of a beatable setup on revenue — though the magnitude of any beat is likely to be modest given macro uncertainty.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May 7 earnings call</w:t>
      </w:r>
      <w:r>
        <w:rPr>
          <w:rFonts w:ascii="Calibri" w:hAnsi="Calibri"/>
          <w:color w:val="525866"/>
          <w:sz w:val="22"/>
        </w:rPr>
        <w:t xml:space="preserve"> — no 8-K pre-announcements, no conference updates. Management's tone was cautious on Q1 (macro headwinds, CPG pressure, Publicis overhang), and the absence of any positive pre-announcement since then suggests conditions have not materially improved heading into the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≥$750M</w:t>
            </w:r>
          </w:p>
        </w:tc>
        <w:tc>
          <w:tcPr>
            <w:tcW w:type="dxa" w:w="1728"/>
          </w:tcPr>
          <w:p>
            <w:r>
              <w:rPr>
                <w:rFonts w:ascii="Calibri" w:hAnsi="Calibri"/>
                <w:sz w:val="22"/>
              </w:rPr>
              <w:t>— (unchanged)</w:t>
            </w:r>
          </w:p>
        </w:tc>
        <w:tc>
          <w:tcPr>
            <w:tcW w:type="dxa" w:w="1728"/>
          </w:tcPr>
          <w:p>
            <w:r>
              <w:rPr>
                <w:rFonts w:ascii="Calibri" w:hAnsi="Calibri"/>
                <w:sz w:val="22"/>
              </w:rPr>
              <w:t>$752.1M</w:t>
            </w:r>
          </w:p>
        </w:tc>
        <w:tc>
          <w:tcPr>
            <w:tcW w:type="dxa" w:w="1728"/>
          </w:tcPr>
          <w:p>
            <w:r>
              <w:rPr>
                <w:rFonts w:ascii="Calibri" w:hAnsi="Calibri"/>
                <w:sz w:val="22"/>
              </w:rPr>
              <w:t>Consensus sits just 0.3% above guidance floor; no post-earnings update</w:t>
            </w:r>
          </w:p>
        </w:tc>
      </w:tr>
      <w:tr>
        <w:tc>
          <w:tcPr>
            <w:tcW w:type="dxa" w:w="1728"/>
          </w:tcPr>
          <w:p>
            <w:r>
              <w:rPr>
                <w:rFonts w:ascii="Calibri" w:hAnsi="Calibri"/>
                <w:sz w:val="22"/>
              </w:rPr>
              <w:t>Q2 2026 Adj. EBITDA</w:t>
            </w:r>
          </w:p>
        </w:tc>
        <w:tc>
          <w:tcPr>
            <w:tcW w:type="dxa" w:w="1728"/>
          </w:tcPr>
          <w:p>
            <w:r>
              <w:rPr>
                <w:rFonts w:ascii="Calibri" w:hAnsi="Calibri"/>
                <w:sz w:val="22"/>
              </w:rPr>
              <w:t>~$260M</w:t>
            </w:r>
          </w:p>
        </w:tc>
        <w:tc>
          <w:tcPr>
            <w:tcW w:type="dxa" w:w="1728"/>
          </w:tcPr>
          <w:p>
            <w:r>
              <w:rPr>
                <w:rFonts w:ascii="Calibri" w:hAnsi="Calibri"/>
                <w:sz w:val="22"/>
              </w:rPr>
              <w:t>— (unchanged)</w:t>
            </w:r>
          </w:p>
        </w:tc>
        <w:tc>
          <w:tcPr>
            <w:tcW w:type="dxa" w:w="1728"/>
          </w:tcPr>
          <w:p>
            <w:r>
              <w:rPr>
                <w:rFonts w:ascii="Calibri" w:hAnsi="Calibri"/>
                <w:sz w:val="22"/>
              </w:rPr>
              <w:t>$262.5M</w:t>
            </w:r>
          </w:p>
        </w:tc>
        <w:tc>
          <w:tcPr>
            <w:tcW w:type="dxa" w:w="1728"/>
          </w:tcPr>
          <w:p>
            <w:r>
              <w:rPr>
                <w:rFonts w:ascii="Calibri" w:hAnsi="Calibri"/>
                <w:sz w:val="22"/>
              </w:rPr>
              <w:t>Consensus ~1% above guidance midpoint; no post-earnings update</w:t>
            </w:r>
          </w:p>
        </w:tc>
      </w:tr>
      <w:tr>
        <w:tc>
          <w:tcPr>
            <w:tcW w:type="dxa" w:w="1728"/>
          </w:tcPr>
          <w:p>
            <w:r>
              <w:rPr>
                <w:rFonts w:ascii="Calibri" w:hAnsi="Calibri"/>
                <w:sz w:val="22"/>
              </w:rPr>
              <w:t>FY 2026 Adj. EBITDA Margin</w:t>
            </w:r>
          </w:p>
        </w:tc>
        <w:tc>
          <w:tcPr>
            <w:tcW w:type="dxa" w:w="1728"/>
          </w:tcPr>
          <w:p>
            <w:r>
              <w:rPr>
                <w:rFonts w:ascii="Calibri" w:hAnsi="Calibri"/>
                <w:sz w:val="22"/>
              </w:rPr>
              <w:t>≥40% (approx. in line with 2025)</w:t>
            </w:r>
          </w:p>
        </w:tc>
        <w:tc>
          <w:tcPr>
            <w:tcW w:type="dxa" w:w="1728"/>
          </w:tcPr>
          <w:p>
            <w:r>
              <w:rPr>
                <w:rFonts w:ascii="Calibri" w:hAnsi="Calibri"/>
                <w:sz w:val="22"/>
              </w:rPr>
              <w:t>— (unchanged)</w:t>
            </w:r>
          </w:p>
        </w:tc>
        <w:tc>
          <w:tcPr>
            <w:tcW w:type="dxa" w:w="1728"/>
          </w:tcPr>
          <w:p>
            <w:r>
              <w:rPr>
                <w:rFonts w:ascii="Calibri" w:hAnsi="Calibri"/>
                <w:sz w:val="22"/>
              </w:rPr>
              <w:t>~39.7% (FY consensus $1.263B EBITDA / $3.181B revenue)</w:t>
            </w:r>
          </w:p>
        </w:tc>
        <w:tc>
          <w:tcPr>
            <w:tcW w:type="dxa" w:w="1728"/>
          </w:tcPr>
          <w:p>
            <w:r>
              <w:rPr>
                <w:rFonts w:ascii="Calibri" w:hAnsi="Calibri"/>
                <w:sz w:val="22"/>
              </w:rPr>
              <w:t>Consensus slightly below guidance floor; management reiterated headcount growth below revenue growth</w:t>
            </w:r>
          </w:p>
        </w:tc>
      </w:tr>
      <w:tr>
        <w:tc>
          <w:tcPr>
            <w:tcW w:type="dxa" w:w="1728"/>
          </w:tcPr>
          <w:p>
            <w:r>
              <w:rPr>
                <w:rFonts w:ascii="Calibri" w:hAnsi="Calibri"/>
                <w:sz w:val="22"/>
              </w:rPr>
              <w:t>Publicis Dispute</w:t>
            </w:r>
          </w:p>
        </w:tc>
        <w:tc>
          <w:tcPr>
            <w:tcW w:type="dxa" w:w="1728"/>
          </w:tcPr>
          <w:p>
            <w:r>
              <w:rPr>
                <w:rFonts w:ascii="Calibri" w:hAnsi="Calibri"/>
                <w:sz w:val="22"/>
              </w:rPr>
              <w:t>Negotiations ongoing; characterized as "overdramatized" in press; no incremental agency weakness cited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update since May 7; remains an overhang; resolution or escalation is a binary risk</w:t>
            </w:r>
          </w:p>
        </w:tc>
      </w:tr>
      <w:tr>
        <w:tc>
          <w:tcPr>
            <w:tcW w:type="dxa" w:w="1728"/>
          </w:tcPr>
          <w:p>
            <w:r>
              <w:rPr>
                <w:rFonts w:ascii="Calibri" w:hAnsi="Calibri"/>
                <w:sz w:val="22"/>
              </w:rPr>
              <w:t>CPG / Macro Tone</w:t>
            </w:r>
          </w:p>
        </w:tc>
        <w:tc>
          <w:tcPr>
            <w:tcW w:type="dxa" w:w="1728"/>
          </w:tcPr>
          <w:p>
            <w:r>
              <w:rPr>
                <w:rFonts w:ascii="Calibri" w:hAnsi="Calibri"/>
                <w:sz w:val="22"/>
              </w:rPr>
              <w:t>"Cloudier macro environment"; CPG (Food &amp; Drink, Home &amp; Garden) under pressure from geopolitical uncertainty, consumer softness, input cost inflation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Peer commentary (META, GOOGL, MGNI) suggests macro improved in Q2; watch for TTD-specific CPG commentary</w:t>
            </w:r>
          </w:p>
        </w:tc>
      </w:tr>
    </w:tbl>
    <w:p>
      <w:r>
        <w:rPr>
          <w:rFonts w:ascii="Calibri" w:hAnsi="Calibri"/>
          <w:i/>
          <w:color w:val="525866"/>
          <w:sz w:val="22"/>
        </w:rPr>
        <w:t>Source: TTD Q1 2026 Earnings Call Transcript and Earnings Release (May 7, 2026); TTD 8-K (July 13, 2026 — board appointment only, no guidance update).</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essentially flat since the post-Q1 baseline</w:t>
      </w:r>
      <w:r>
        <w:rPr>
          <w:rFonts w:ascii="Calibri" w:hAnsi="Calibri"/>
          <w:color w:val="525866"/>
          <w:sz w:val="22"/>
        </w:rPr>
        <w:t xml:space="preserve"> — revenue consensus for Q2 has barely moved (+0.03% from the 5-day post-print level), and full-year estimates have drifted slightly lower. The gap between consensus and guidance is razor-thin, meaning </w:t>
      </w:r>
      <w:r>
        <w:rPr>
          <w:rFonts w:ascii="Calibri" w:hAnsi="Calibri"/>
          <w:b/>
          <w:color w:val="525866"/>
          <w:sz w:val="22"/>
        </w:rPr>
        <w:t>there is no cushion built into numbers</w:t>
      </w:r>
      <w:r>
        <w:rPr>
          <w:rFonts w:ascii="Calibri" w:hAnsi="Calibri"/>
          <w:color w:val="525866"/>
          <w:sz w:val="22"/>
        </w:rPr>
        <w:t xml:space="preserve"> — any shortfall vs. guidance would be a negative surprise, while a beat would require outperformance above the guidance floor.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15,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(Q2 2026)</w:t>
            </w:r>
          </w:p>
        </w:tc>
        <w:tc>
          <w:tcPr>
            <w:tcW w:type="dxa" w:w="1080"/>
          </w:tcPr>
          <w:p>
            <w:r>
              <w:rPr>
                <w:rFonts w:ascii="Calibri" w:hAnsi="Calibri"/>
                <w:sz w:val="22"/>
              </w:rPr>
              <w:t>$751.9M</w:t>
            </w:r>
          </w:p>
        </w:tc>
        <w:tc>
          <w:tcPr>
            <w:tcW w:type="dxa" w:w="1080"/>
          </w:tcPr>
          <w:p>
            <w:r>
              <w:rPr>
                <w:rFonts w:ascii="Calibri" w:hAnsi="Calibri"/>
                <w:sz w:val="22"/>
              </w:rPr>
              <w:t>$752.1M</w:t>
            </w:r>
          </w:p>
        </w:tc>
        <w:tc>
          <w:tcPr>
            <w:tcW w:type="dxa" w:w="1080"/>
          </w:tcPr>
          <w:p>
            <w:r>
              <w:rPr>
                <w:rFonts w:ascii="Calibri" w:hAnsi="Calibri"/>
                <w:sz w:val="22"/>
              </w:rPr>
              <w:t>+0.03%</w:t>
            </w:r>
          </w:p>
        </w:tc>
        <w:tc>
          <w:tcPr>
            <w:tcW w:type="dxa" w:w="1080"/>
          </w:tcPr>
          <w:p>
            <w:r>
              <w:rPr>
                <w:rFonts w:ascii="Calibri" w:hAnsi="Calibri"/>
                <w:sz w:val="22"/>
              </w:rPr>
              <w:t>≥$750M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w:t>
            </w:r>
          </w:p>
        </w:tc>
      </w:tr>
      <w:tr>
        <w:tc>
          <w:tcPr>
            <w:tcW w:type="dxa" w:w="1080"/>
          </w:tcPr>
          <w:p>
            <w:r>
              <w:rPr>
                <w:rFonts w:ascii="Calibri" w:hAnsi="Calibri"/>
                <w:sz w:val="22"/>
              </w:rPr>
              <w:t>Revenue (FY 2026)</w:t>
            </w:r>
          </w:p>
        </w:tc>
        <w:tc>
          <w:tcPr>
            <w:tcW w:type="dxa" w:w="1080"/>
          </w:tcPr>
          <w:p>
            <w:r>
              <w:rPr>
                <w:rFonts w:ascii="Calibri" w:hAnsi="Calibri"/>
                <w:sz w:val="22"/>
              </w:rPr>
              <w:t>$3,185.5M</w:t>
            </w:r>
          </w:p>
        </w:tc>
        <w:tc>
          <w:tcPr>
            <w:tcW w:type="dxa" w:w="1080"/>
          </w:tcPr>
          <w:p>
            <w:r>
              <w:rPr>
                <w:rFonts w:ascii="Calibri" w:hAnsi="Calibri"/>
                <w:sz w:val="22"/>
              </w:rPr>
              <w:t>$3,180.9M</w:t>
            </w:r>
          </w:p>
        </w:tc>
        <w:tc>
          <w:tcPr>
            <w:tcW w:type="dxa" w:w="1080"/>
          </w:tcPr>
          <w:p>
            <w:r>
              <w:rPr>
                <w:rFonts w:ascii="Calibri" w:hAnsi="Calibri"/>
                <w:sz w:val="22"/>
              </w:rPr>
              <w:t>-0.14%</w:t>
            </w:r>
          </w:p>
        </w:tc>
        <w:tc>
          <w:tcPr>
            <w:tcW w:type="dxa" w:w="1080"/>
          </w:tcPr>
          <w:p>
            <w:r>
              <w:rPr>
                <w:rFonts w:ascii="Calibri" w:hAnsi="Calibri"/>
                <w:sz w:val="22"/>
              </w:rPr>
              <w:t>N/A (no FY rev.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(Q2 2026)</w:t>
            </w:r>
          </w:p>
        </w:tc>
        <w:tc>
          <w:tcPr>
            <w:tcW w:type="dxa" w:w="1080"/>
          </w:tcPr>
          <w:p>
            <w:r>
              <w:rPr>
                <w:rFonts w:ascii="Calibri" w:hAnsi="Calibri"/>
                <w:sz w:val="22"/>
              </w:rPr>
              <w:t>$262.3M</w:t>
            </w:r>
          </w:p>
        </w:tc>
        <w:tc>
          <w:tcPr>
            <w:tcW w:type="dxa" w:w="1080"/>
          </w:tcPr>
          <w:p>
            <w:r>
              <w:rPr>
                <w:rFonts w:ascii="Calibri" w:hAnsi="Calibri"/>
                <w:sz w:val="22"/>
              </w:rPr>
              <w:t>$262.5M</w:t>
            </w:r>
          </w:p>
        </w:tc>
        <w:tc>
          <w:tcPr>
            <w:tcW w:type="dxa" w:w="1080"/>
          </w:tcPr>
          <w:p>
            <w:r>
              <w:rPr>
                <w:rFonts w:ascii="Calibri" w:hAnsi="Calibri"/>
                <w:sz w:val="22"/>
              </w:rPr>
              <w:t>+0.07%</w:t>
            </w:r>
          </w:p>
        </w:tc>
        <w:tc>
          <w:tcPr>
            <w:tcW w:type="dxa" w:w="1080"/>
          </w:tcPr>
          <w:p>
            <w:r>
              <w:rPr>
                <w:rFonts w:ascii="Calibri" w:hAnsi="Calibri"/>
                <w:sz w:val="22"/>
              </w:rPr>
              <w:t>~$260M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w:t>
            </w:r>
          </w:p>
        </w:tc>
      </w:tr>
      <w:tr>
        <w:tc>
          <w:tcPr>
            <w:tcW w:type="dxa" w:w="1080"/>
          </w:tcPr>
          <w:p>
            <w:r>
              <w:rPr>
                <w:rFonts w:ascii="Calibri" w:hAnsi="Calibri"/>
                <w:sz w:val="22"/>
              </w:rPr>
              <w:t>Adj. EBITDA (FY 2026)</w:t>
            </w:r>
          </w:p>
        </w:tc>
        <w:tc>
          <w:tcPr>
            <w:tcW w:type="dxa" w:w="1080"/>
          </w:tcPr>
          <w:p>
            <w:r>
              <w:rPr>
                <w:rFonts w:ascii="Calibri" w:hAnsi="Calibri"/>
                <w:sz w:val="22"/>
              </w:rPr>
              <w:t>$1,267.1M</w:t>
            </w:r>
          </w:p>
        </w:tc>
        <w:tc>
          <w:tcPr>
            <w:tcW w:type="dxa" w:w="1080"/>
          </w:tcPr>
          <w:p>
            <w:r>
              <w:rPr>
                <w:rFonts w:ascii="Calibri" w:hAnsi="Calibri"/>
                <w:sz w:val="22"/>
              </w:rPr>
              <w:t>$1,262.7M</w:t>
            </w:r>
          </w:p>
        </w:tc>
        <w:tc>
          <w:tcPr>
            <w:tcW w:type="dxa" w:w="1080"/>
          </w:tcPr>
          <w:p>
            <w:r>
              <w:rPr>
                <w:rFonts w:ascii="Calibri" w:hAnsi="Calibri"/>
                <w:sz w:val="22"/>
              </w:rPr>
              <w:t>-0.35%</w:t>
            </w:r>
          </w:p>
        </w:tc>
        <w:tc>
          <w:tcPr>
            <w:tcW w:type="dxa" w:w="1080"/>
          </w:tcPr>
          <w:p>
            <w:r>
              <w:rPr>
                <w:rFonts w:ascii="Calibri" w:hAnsi="Calibri"/>
                <w:sz w:val="22"/>
              </w:rPr>
              <w:t>≥40%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~39.7% margin vs. ≥40% guidance</w:t>
            </w:r>
          </w:p>
        </w:tc>
      </w:tr>
      <w:tr>
        <w:tc>
          <w:tcPr>
            <w:tcW w:type="dxa" w:w="1080"/>
          </w:tcPr>
          <w:p>
            <w:r>
              <w:rPr>
                <w:rFonts w:ascii="Calibri" w:hAnsi="Calibri"/>
                <w:sz w:val="22"/>
              </w:rPr>
              <w:t>Adj. EPS (Q2 2026)</w:t>
            </w:r>
          </w:p>
        </w:tc>
        <w:tc>
          <w:tcPr>
            <w:tcW w:type="dxa" w:w="1080"/>
          </w:tcPr>
          <w:p>
            <w:r>
              <w:rPr>
                <w:rFonts w:ascii="Calibri" w:hAnsi="Calibri"/>
                <w:sz w:val="22"/>
              </w:rPr>
              <w:t>$0.403</w:t>
            </w:r>
          </w:p>
        </w:tc>
        <w:tc>
          <w:tcPr>
            <w:tcW w:type="dxa" w:w="1080"/>
          </w:tcPr>
          <w:p>
            <w:r>
              <w:rPr>
                <w:rFonts w:ascii="Calibri" w:hAnsi="Calibri"/>
                <w:sz w:val="22"/>
              </w:rPr>
              <w:t>$0.404</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(FY 2026)</w:t>
            </w:r>
          </w:p>
        </w:tc>
        <w:tc>
          <w:tcPr>
            <w:tcW w:type="dxa" w:w="1080"/>
          </w:tcPr>
          <w:p>
            <w:r>
              <w:rPr>
                <w:rFonts w:ascii="Calibri" w:hAnsi="Calibri"/>
                <w:sz w:val="22"/>
              </w:rPr>
              <w:t>$1.863</w:t>
            </w:r>
          </w:p>
        </w:tc>
        <w:tc>
          <w:tcPr>
            <w:tcW w:type="dxa" w:w="1080"/>
          </w:tcPr>
          <w:p>
            <w:r>
              <w:rPr>
                <w:rFonts w:ascii="Calibri" w:hAnsi="Calibri"/>
                <w:sz w:val="22"/>
              </w:rPr>
              <w:t>$1.856</w:t>
            </w:r>
          </w:p>
        </w:tc>
        <w:tc>
          <w:tcPr>
            <w:tcW w:type="dxa" w:w="1080"/>
          </w:tcPr>
          <w:p>
            <w:r>
              <w:rPr>
                <w:rFonts w:ascii="Calibri" w:hAnsi="Calibri"/>
                <w:sz w:val="22"/>
              </w:rPr>
              <w:t>-0.38%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been remarkably stable since the Q1 print, with virtually no revision activity in either direction. This reflects analyst uncertainty rather than conviction — the Street is essentially waiting for the print to reset the model. The slight downward drift in FY 2026 estimates (revenue −0.14%, EBITDA −0.35%, EPS −0.38%) suggests mild skepticism about the back half, but no material deterioration in the consensus view. The FY EBITDA consensus implying ~39.7% margin vs. the ≥40% guidance floor is a minor gap that management will likely need to address on the call.</w:t>
      </w:r>
    </w:p>
    <w:p>
      <w:r>
        <w:rPr>
          <w:rFonts w:ascii="Calibri" w:hAnsi="Calibri"/>
          <w:i/>
          <w:color w:val="525866"/>
          <w:sz w:val="22"/>
        </w:rPr>
        <w:t>Source: Visible Alpha Consensus and Actuals Data (revision history, weekly frequency, May 15 – Aug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stock's ~19% decline since the Q1 print is </w:t>
      </w:r>
      <w:r>
        <w:rPr>
          <w:rFonts w:ascii="Calibri" w:hAnsi="Calibri"/>
          <w:b/>
          <w:color w:val="525866"/>
          <w:sz w:val="22"/>
        </w:rPr>
        <w:t>almost entirely multiple compression</w:t>
      </w:r>
      <w:r>
        <w:rPr>
          <w:rFonts w:ascii="Calibri" w:hAnsi="Calibri"/>
          <w:color w:val="525866"/>
          <w:sz w:val="22"/>
        </w:rPr>
        <w:t xml:space="preserve"> — NTM EV/EBITDA has collapsed from ~9.6x six months ago to ~6.1x today, while estimates have barely moved. TTD has dramatically underperformed both XLC (−6%) and the S&amp;P 500 (+5%) since May 7, suggesting the market has re-rated TTD as a show-me story rather than a growth premium name.</w:t>
      </w:r>
    </w:p>
    <w:p>
      <w:r>
        <w:rPr>
          <w:rFonts w:ascii="Calibri" w:hAnsi="Calibri"/>
          <w:b/>
          <w:color w:val="525866"/>
          <w:sz w:val="22"/>
        </w:rPr>
        <w:t>Indexed Performance Since Q1 2026 Earnings (May 7,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TTD (Indexed)</w:t>
            </w:r>
          </w:p>
        </w:tc>
        <w:tc>
          <w:tcPr>
            <w:tcW w:type="dxa" w:w="2160"/>
            <w:shd w:val="clear" w:color="auto" w:fill="3B4259"/>
          </w:tcPr>
          <w:p>
            <w:r>
              <w:rPr>
                <w:rFonts w:ascii="Calibri" w:hAnsi="Calibri"/>
                <w:b/>
                <w:color w:val="FFFFFF"/>
                <w:sz w:val="22"/>
              </w:rPr>
              <w:t>XLC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90.0</w:t>
            </w:r>
          </w:p>
        </w:tc>
        <w:tc>
          <w:tcPr>
            <w:tcW w:type="dxa" w:w="2160"/>
          </w:tcPr>
          <w:p>
            <w:r>
              <w:rPr>
                <w:rFonts w:ascii="Calibri" w:hAnsi="Calibri"/>
                <w:sz w:val="22"/>
              </w:rPr>
              <w:t>98.9</w:t>
            </w:r>
          </w:p>
        </w:tc>
        <w:tc>
          <w:tcPr>
            <w:tcW w:type="dxa" w:w="2160"/>
          </w:tcPr>
          <w:p>
            <w:r>
              <w:rPr>
                <w:rFonts w:ascii="Calibri" w:hAnsi="Calibri"/>
                <w:sz w:val="22"/>
              </w:rPr>
              <w:t>101.0</w:t>
            </w:r>
          </w:p>
        </w:tc>
      </w:tr>
      <w:tr>
        <w:tc>
          <w:tcPr>
            <w:tcW w:type="dxa" w:w="2160"/>
          </w:tcPr>
          <w:p>
            <w:r>
              <w:rPr>
                <w:rFonts w:ascii="Calibri" w:hAnsi="Calibri"/>
                <w:sz w:val="22"/>
              </w:rPr>
              <w:t>Jun 1, 2026</w:t>
            </w:r>
          </w:p>
        </w:tc>
        <w:tc>
          <w:tcPr>
            <w:tcW w:type="dxa" w:w="2160"/>
          </w:tcPr>
          <w:p>
            <w:r>
              <w:rPr>
                <w:rFonts w:ascii="Calibri" w:hAnsi="Calibri"/>
                <w:sz w:val="22"/>
              </w:rPr>
              <w:t>98.9</w:t>
            </w:r>
          </w:p>
        </w:tc>
        <w:tc>
          <w:tcPr>
            <w:tcW w:type="dxa" w:w="2160"/>
          </w:tcPr>
          <w:p>
            <w:r>
              <w:rPr>
                <w:rFonts w:ascii="Calibri" w:hAnsi="Calibri"/>
                <w:sz w:val="22"/>
              </w:rPr>
              <w:t>98.5</w:t>
            </w:r>
          </w:p>
        </w:tc>
        <w:tc>
          <w:tcPr>
            <w:tcW w:type="dxa" w:w="2160"/>
          </w:tcPr>
          <w:p>
            <w:r>
              <w:rPr>
                <w:rFonts w:ascii="Calibri" w:hAnsi="Calibri"/>
                <w:sz w:val="22"/>
              </w:rPr>
              <w:t>103.7</w:t>
            </w:r>
          </w:p>
        </w:tc>
      </w:tr>
      <w:tr>
        <w:tc>
          <w:tcPr>
            <w:tcW w:type="dxa" w:w="2160"/>
          </w:tcPr>
          <w:p>
            <w:r>
              <w:rPr>
                <w:rFonts w:ascii="Calibri" w:hAnsi="Calibri"/>
                <w:sz w:val="22"/>
              </w:rPr>
              <w:t>Jun 30, 2026</w:t>
            </w:r>
          </w:p>
        </w:tc>
        <w:tc>
          <w:tcPr>
            <w:tcW w:type="dxa" w:w="2160"/>
          </w:tcPr>
          <w:p>
            <w:r>
              <w:rPr>
                <w:rFonts w:ascii="Calibri" w:hAnsi="Calibri"/>
                <w:sz w:val="22"/>
              </w:rPr>
              <w:t>77.0</w:t>
            </w:r>
          </w:p>
        </w:tc>
        <w:tc>
          <w:tcPr>
            <w:tcW w:type="dxa" w:w="2160"/>
          </w:tcPr>
          <w:p>
            <w:r>
              <w:rPr>
                <w:rFonts w:ascii="Calibri" w:hAnsi="Calibri"/>
                <w:sz w:val="22"/>
              </w:rPr>
              <w:t>91.3</w:t>
            </w:r>
          </w:p>
        </w:tc>
        <w:tc>
          <w:tcPr>
            <w:tcW w:type="dxa" w:w="2160"/>
          </w:tcPr>
          <w:p>
            <w:r>
              <w:rPr>
                <w:rFonts w:ascii="Calibri" w:hAnsi="Calibri"/>
                <w:sz w:val="22"/>
              </w:rPr>
              <w:t>102.1</w:t>
            </w:r>
          </w:p>
        </w:tc>
      </w:tr>
      <w:tr>
        <w:tc>
          <w:tcPr>
            <w:tcW w:type="dxa" w:w="2160"/>
          </w:tcPr>
          <w:p>
            <w:r>
              <w:rPr>
                <w:rFonts w:ascii="Calibri" w:hAnsi="Calibri"/>
                <w:sz w:val="22"/>
              </w:rPr>
              <w:t>Jul 13, 2026 (Board Appt. 8-K)</w:t>
            </w:r>
          </w:p>
        </w:tc>
        <w:tc>
          <w:tcPr>
            <w:tcW w:type="dxa" w:w="2160"/>
          </w:tcPr>
          <w:p>
            <w:r>
              <w:rPr>
                <w:rFonts w:ascii="Calibri" w:hAnsi="Calibri"/>
                <w:sz w:val="22"/>
              </w:rPr>
              <w:t>84.2</w:t>
            </w:r>
          </w:p>
        </w:tc>
        <w:tc>
          <w:tcPr>
            <w:tcW w:type="dxa" w:w="2160"/>
          </w:tcPr>
          <w:p>
            <w:r>
              <w:rPr>
                <w:rFonts w:ascii="Calibri" w:hAnsi="Calibri"/>
                <w:sz w:val="22"/>
              </w:rPr>
              <w:t>95.1</w:t>
            </w:r>
          </w:p>
        </w:tc>
        <w:tc>
          <w:tcPr>
            <w:tcW w:type="dxa" w:w="2160"/>
          </w:tcPr>
          <w:p>
            <w:r>
              <w:rPr>
                <w:rFonts w:ascii="Calibri" w:hAnsi="Calibri"/>
                <w:sz w:val="22"/>
              </w:rPr>
              <w:t>102.4</w:t>
            </w:r>
          </w:p>
        </w:tc>
      </w:tr>
      <w:tr>
        <w:tc>
          <w:tcPr>
            <w:tcW w:type="dxa" w:w="2160"/>
          </w:tcPr>
          <w:p>
            <w:r>
              <w:rPr>
                <w:rFonts w:ascii="Calibri" w:hAnsi="Calibri"/>
                <w:sz w:val="22"/>
              </w:rPr>
              <w:t>Jul 22, 2026 (GOOGL Q2 Earnings)</w:t>
            </w:r>
          </w:p>
        </w:tc>
        <w:tc>
          <w:tcPr>
            <w:tcW w:type="dxa" w:w="2160"/>
          </w:tcPr>
          <w:p>
            <w:r>
              <w:rPr>
                <w:rFonts w:ascii="Calibri" w:hAnsi="Calibri"/>
                <w:sz w:val="22"/>
              </w:rPr>
              <w:t>74.8</w:t>
            </w:r>
          </w:p>
        </w:tc>
        <w:tc>
          <w:tcPr>
            <w:tcW w:type="dxa" w:w="2160"/>
          </w:tcPr>
          <w:p>
            <w:r>
              <w:rPr>
                <w:rFonts w:ascii="Calibri" w:hAnsi="Calibri"/>
                <w:sz w:val="22"/>
              </w:rPr>
              <w:t>93.0</w:t>
            </w:r>
          </w:p>
        </w:tc>
        <w:tc>
          <w:tcPr>
            <w:tcW w:type="dxa" w:w="2160"/>
          </w:tcPr>
          <w:p>
            <w:r>
              <w:rPr>
                <w:rFonts w:ascii="Calibri" w:hAnsi="Calibri"/>
                <w:sz w:val="22"/>
              </w:rPr>
              <w:t>102.2</w:t>
            </w:r>
          </w:p>
        </w:tc>
      </w:tr>
      <w:tr>
        <w:tc>
          <w:tcPr>
            <w:tcW w:type="dxa" w:w="2160"/>
          </w:tcPr>
          <w:p>
            <w:r>
              <w:rPr>
                <w:rFonts w:ascii="Calibri" w:hAnsi="Calibri"/>
                <w:sz w:val="22"/>
              </w:rPr>
              <w:t>Jul 29, 2026 (META Q2 Earnings)</w:t>
            </w:r>
          </w:p>
        </w:tc>
        <w:tc>
          <w:tcPr>
            <w:tcW w:type="dxa" w:w="2160"/>
          </w:tcPr>
          <w:p>
            <w:r>
              <w:rPr>
                <w:rFonts w:ascii="Calibri" w:hAnsi="Calibri"/>
                <w:sz w:val="22"/>
              </w:rPr>
              <w:t>81.3</w:t>
            </w:r>
          </w:p>
        </w:tc>
        <w:tc>
          <w:tcPr>
            <w:tcW w:type="dxa" w:w="2160"/>
          </w:tcPr>
          <w:p>
            <w:r>
              <w:rPr>
                <w:rFonts w:ascii="Calibri" w:hAnsi="Calibri"/>
                <w:sz w:val="22"/>
              </w:rPr>
              <w:t>93.3</w:t>
            </w:r>
          </w:p>
        </w:tc>
        <w:tc>
          <w:tcPr>
            <w:tcW w:type="dxa" w:w="2160"/>
          </w:tcPr>
          <w:p>
            <w:r>
              <w:rPr>
                <w:rFonts w:ascii="Calibri" w:hAnsi="Calibri"/>
                <w:sz w:val="22"/>
              </w:rPr>
              <w:t>99.7</w:t>
            </w:r>
          </w:p>
        </w:tc>
      </w:tr>
      <w:tr>
        <w:tc>
          <w:tcPr>
            <w:tcW w:type="dxa" w:w="2160"/>
          </w:tcPr>
          <w:p>
            <w:r>
              <w:rPr>
                <w:rFonts w:ascii="Calibri" w:hAnsi="Calibri"/>
                <w:sz w:val="22"/>
              </w:rPr>
              <w:t>Aug 3, 2026 (SNAP Q2 Earnings)</w:t>
            </w:r>
          </w:p>
        </w:tc>
        <w:tc>
          <w:tcPr>
            <w:tcW w:type="dxa" w:w="2160"/>
          </w:tcPr>
          <w:p>
            <w:r>
              <w:rPr>
                <w:rFonts w:ascii="Calibri" w:hAnsi="Calibri"/>
                <w:sz w:val="22"/>
              </w:rPr>
              <w:t>77.9</w:t>
            </w:r>
          </w:p>
        </w:tc>
        <w:tc>
          <w:tcPr>
            <w:tcW w:type="dxa" w:w="2160"/>
          </w:tcPr>
          <w:p>
            <w:r>
              <w:rPr>
                <w:rFonts w:ascii="Calibri" w:hAnsi="Calibri"/>
                <w:sz w:val="22"/>
              </w:rPr>
              <w:t>94.9</w:t>
            </w:r>
          </w:p>
        </w:tc>
        <w:tc>
          <w:tcPr>
            <w:tcW w:type="dxa" w:w="2160"/>
          </w:tcPr>
          <w:p>
            <w:r>
              <w:rPr>
                <w:rFonts w:ascii="Calibri" w:hAnsi="Calibri"/>
                <w:sz w:val="22"/>
              </w:rPr>
              <w:t>103.6</w:t>
            </w:r>
          </w:p>
        </w:tc>
      </w:tr>
      <w:tr>
        <w:tc>
          <w:tcPr>
            <w:tcW w:type="dxa" w:w="2160"/>
          </w:tcPr>
          <w:p>
            <w:r>
              <w:rPr>
                <w:rFonts w:ascii="Calibri" w:hAnsi="Calibri"/>
                <w:sz w:val="22"/>
              </w:rPr>
              <w:t>Aug 4, 2026 (PINS Q2 Earnings)</w:t>
            </w:r>
          </w:p>
        </w:tc>
        <w:tc>
          <w:tcPr>
            <w:tcW w:type="dxa" w:w="2160"/>
          </w:tcPr>
          <w:p>
            <w:r>
              <w:rPr>
                <w:rFonts w:ascii="Calibri" w:hAnsi="Calibri"/>
                <w:sz w:val="22"/>
              </w:rPr>
              <w:t>82.3</w:t>
            </w:r>
          </w:p>
        </w:tc>
        <w:tc>
          <w:tcPr>
            <w:tcW w:type="dxa" w:w="2160"/>
          </w:tcPr>
          <w:p>
            <w:r>
              <w:rPr>
                <w:rFonts w:ascii="Calibri" w:hAnsi="Calibri"/>
                <w:sz w:val="22"/>
              </w:rPr>
              <w:t>95.5</w:t>
            </w:r>
          </w:p>
        </w:tc>
        <w:tc>
          <w:tcPr>
            <w:tcW w:type="dxa" w:w="2160"/>
          </w:tcPr>
          <w:p>
            <w:r>
              <w:rPr>
                <w:rFonts w:ascii="Calibri" w:hAnsi="Calibri"/>
                <w:sz w:val="22"/>
              </w:rPr>
              <w:t>105.4</w:t>
            </w:r>
          </w:p>
        </w:tc>
      </w:tr>
      <w:tr>
        <w:tc>
          <w:tcPr>
            <w:tcW w:type="dxa" w:w="2160"/>
          </w:tcPr>
          <w:p>
            <w:r>
              <w:rPr>
                <w:rFonts w:ascii="Calibri" w:hAnsi="Calibri"/>
                <w:sz w:val="22"/>
              </w:rPr>
              <w:t>Aug 5, 2026 (MGNI Q2 Earnings; Pre-TTD)</w:t>
            </w:r>
          </w:p>
        </w:tc>
        <w:tc>
          <w:tcPr>
            <w:tcW w:type="dxa" w:w="2160"/>
          </w:tcPr>
          <w:p>
            <w:r>
              <w:rPr>
                <w:rFonts w:ascii="Calibri" w:hAnsi="Calibri"/>
                <w:sz w:val="22"/>
              </w:rPr>
              <w:t>80.7</w:t>
            </w:r>
          </w:p>
        </w:tc>
        <w:tc>
          <w:tcPr>
            <w:tcW w:type="dxa" w:w="2160"/>
          </w:tcPr>
          <w:p>
            <w:r>
              <w:rPr>
                <w:rFonts w:ascii="Calibri" w:hAnsi="Calibri"/>
                <w:sz w:val="22"/>
              </w:rPr>
              <w:t>94.5</w:t>
            </w:r>
          </w:p>
        </w:tc>
        <w:tc>
          <w:tcPr>
            <w:tcW w:type="dxa" w:w="2160"/>
          </w:tcPr>
          <w:p>
            <w:r>
              <w:rPr>
                <w:rFonts w:ascii="Calibri" w:hAnsi="Calibri"/>
                <w:sz w:val="22"/>
              </w:rPr>
              <w:t>105.2</w:t>
            </w:r>
          </w:p>
        </w:tc>
      </w:tr>
    </w:tbl>
    <w:p>
      <w:r>
        <w:rPr>
          <w:rFonts w:ascii="Calibri" w:hAnsi="Calibri"/>
          <w:i/>
          <w:color w:val="525866"/>
          <w:sz w:val="22"/>
        </w:rPr>
        <w:t>TTD: −19.3% | XLC: −5.6% | SPY: +5.2% since May 7, 2026 close. Sector ETF used: XLC (Communication Services Select Sector SPDR), which captures TTD’s ad-tech and digital media peer group. Key events marked: Jul 13 board appointment 8-K (no guidance change); GOOGL/META/SNAP/PINS/MGNI Q2 earnings (peer read-through events). Valuation: NTM EV/EBITDA compressed from ~9.6x (6 months ago) to ~6.1x today; NTM P/E from ~26x to ~18x. The decline is almost entirely multiple-driven, not estimate-driven.</w:t>
      </w:r>
    </w:p>
    <w:p>
      <w:r>
        <w:rPr>
          <w:rFonts w:ascii="Calibri" w:hAnsi="Calibri"/>
          <w:i/>
          <w:color w:val="525866"/>
          <w:sz w:val="22"/>
        </w:rPr>
        <w:t>Source: Stock Price Data (Yahoo Finance); Stock Performance Decomposition (Implied).</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post-Q1 development is the </w:t>
      </w:r>
      <w:r>
        <w:rPr>
          <w:rFonts w:ascii="Calibri" w:hAnsi="Calibri"/>
          <w:b/>
          <w:color w:val="525866"/>
          <w:sz w:val="22"/>
        </w:rPr>
        <w:t>board expansion and governance upgrade</w:t>
      </w:r>
      <w:r>
        <w:rPr>
          <w:rFonts w:ascii="Calibri" w:hAnsi="Calibri"/>
          <w:color w:val="525866"/>
          <w:sz w:val="22"/>
        </w:rPr>
        <w:t xml:space="preserve"> (Penry Price appointment, July 13), which is operationally neutral but signals continued institutional confidence. The absence of any pre-announcement or guidance update since May 7 is itself informative — no positive pre-announcement means no obvious upside catalyst has emerged.</w:t>
      </w:r>
    </w:p>
    <w:p>
      <w:pPr>
        <w:pStyle w:val="ListBullet"/>
        <w:ind w:left="360" w:hanging="360"/>
      </w:pPr>
      <w:r>
        <w:rPr>
          <w:rFonts w:ascii="Calibri" w:hAnsi="Calibri"/>
          <w:b/>
          <w:color w:val="525866"/>
          <w:sz w:val="22"/>
        </w:rPr>
        <w:t>Jul 13, 2026 — Board Expansion: Penry Price Appointed Director &amp; Compensation Committee Chair.</w:t>
      </w:r>
      <w:r>
        <w:rPr>
          <w:rFonts w:ascii="Calibri" w:hAnsi="Calibri"/>
          <w:color w:val="525866"/>
          <w:sz w:val="22"/>
        </w:rPr>
        <w:t xml:space="preserve"> TTD expanded its board from 6 to 7 directors, appointing Penry Price (former LinkedIn VP of Global Marketing Solutions) as a Class II director, Audit Committee member, and Compensation Committee Chair. Compensation: $50K board retainer + $50K committee chair fee + $290K initial equity grant. </w:t>
      </w:r>
      <w:r>
        <w:rPr>
          <w:rFonts w:ascii="Calibri" w:hAnsi="Calibri"/>
          <w:b/>
          <w:color w:val="525866"/>
          <w:sz w:val="22"/>
        </w:rPr>
        <w:t>Implication:</w:t>
      </w:r>
      <w:r>
        <w:rPr>
          <w:rFonts w:ascii="Calibri" w:hAnsi="Calibri"/>
          <w:color w:val="525866"/>
          <w:sz w:val="22"/>
        </w:rPr>
        <w:t xml:space="preserve"> Operationally neutral; adds ad-tech/LinkedIn expertise to the board. No guidance update accompanied the 8-K. Source: TTD 8-K (July 13, 2026).</w:t>
      </w:r>
    </w:p>
    <w:p>
      <w:pPr>
        <w:pStyle w:val="ListBullet"/>
        <w:ind w:left="360" w:hanging="360"/>
      </w:pPr>
      <w:r>
        <w:rPr>
          <w:rFonts w:ascii="Calibri" w:hAnsi="Calibri"/>
          <w:b/>
          <w:color w:val="525866"/>
          <w:sz w:val="22"/>
        </w:rPr>
        <w:t>May 7, 2026 — Q1 2026 Earnings: Revenue Beat, EPS Miss, Q2 Guide Below Consensus.</w:t>
      </w:r>
      <w:r>
        <w:rPr>
          <w:rFonts w:ascii="Calibri" w:hAnsi="Calibri"/>
          <w:color w:val="525866"/>
          <w:sz w:val="22"/>
        </w:rPr>
        <w:t xml:space="preserve"> Q1 revenue of $688.9M beat consensus of $679.1M (+1.4%); adj. EBITDA of $206.1M beat $198.3M (+3.9%); adj. EPS of $0.28 missed consensus. Q2 guidance of ≥$750M revenue and ~$260M adj. EBITDA came in meaningfully below prior Street expectations, driving a sharp post-earnings selloff. </w:t>
      </w:r>
      <w:r>
        <w:rPr>
          <w:rFonts w:ascii="Calibri" w:hAnsi="Calibri"/>
          <w:b/>
          <w:color w:val="525866"/>
          <w:sz w:val="22"/>
        </w:rPr>
        <w:t>Implication:</w:t>
      </w:r>
      <w:r>
        <w:rPr>
          <w:rFonts w:ascii="Calibri" w:hAnsi="Calibri"/>
          <w:color w:val="525866"/>
          <w:sz w:val="22"/>
        </w:rPr>
        <w:t xml:space="preserve"> The guide reset is the primary driver of the stock's underperformance since May 7. Source: TTD Q1 2026 Earnings Release and Transcript.</w:t>
      </w:r>
    </w:p>
    <w:p>
      <w:pPr>
        <w:pStyle w:val="ListBullet"/>
        <w:ind w:left="360" w:hanging="360"/>
      </w:pPr>
      <w:r>
        <w:rPr>
          <w:rFonts w:ascii="Calibri" w:hAnsi="Calibri"/>
          <w:b/>
          <w:color w:val="525866"/>
          <w:sz w:val="22"/>
        </w:rPr>
        <w:t>May 7, 2026 — CSO Samantha Jacobson Departure Announced.</w:t>
      </w:r>
      <w:r>
        <w:rPr>
          <w:rFonts w:ascii="Calibri" w:hAnsi="Calibri"/>
          <w:color w:val="525866"/>
          <w:sz w:val="22"/>
        </w:rPr>
        <w:t xml:space="preserve"> Chief Strategy Officer Samantha Jacobson announced departure to join OpenAI; she remains on TTD’s Board of Directors. </w:t>
      </w:r>
      <w:r>
        <w:rPr>
          <w:rFonts w:ascii="Calibri" w:hAnsi="Calibri"/>
          <w:b/>
          <w:color w:val="525866"/>
          <w:sz w:val="22"/>
        </w:rPr>
        <w:t>Implication:</w:t>
      </w:r>
      <w:r>
        <w:rPr>
          <w:rFonts w:ascii="Calibri" w:hAnsi="Calibri"/>
          <w:color w:val="525866"/>
          <w:sz w:val="22"/>
        </w:rPr>
        <w:t xml:space="preserve"> Leadership transition noise; partially offset by board retention. Adds to the narrative of talent migration to AI-native companies.</w:t>
      </w:r>
    </w:p>
    <w:p>
      <w:pPr>
        <w:pStyle w:val="ListBullet"/>
        <w:ind w:left="360" w:hanging="360"/>
      </w:pPr>
      <w:r>
        <w:rPr>
          <w:rFonts w:ascii="Calibri" w:hAnsi="Calibri"/>
          <w:b/>
          <w:color w:val="525866"/>
          <w:sz w:val="22"/>
        </w:rPr>
        <w:t>May 7, 2026 — Share Repurchases: $164M in Q1 2026; $327M Remaining Authorization.</w:t>
      </w:r>
      <w:r>
        <w:rPr>
          <w:rFonts w:ascii="Calibri" w:hAnsi="Calibri"/>
          <w:color w:val="525866"/>
          <w:sz w:val="22"/>
        </w:rPr>
        <w:t xml:space="preserve"> TTD repurchased ~$164M of Class A common stock in Q1 2026. As of March 31, 2026, $327M remained authorized. </w:t>
      </w:r>
      <w:r>
        <w:rPr>
          <w:rFonts w:ascii="Calibri" w:hAnsi="Calibri"/>
          <w:b/>
          <w:color w:val="525866"/>
          <w:sz w:val="22"/>
        </w:rPr>
        <w:t>Implication:</w:t>
      </w:r>
      <w:r>
        <w:rPr>
          <w:rFonts w:ascii="Calibri" w:hAnsi="Calibri"/>
          <w:color w:val="525866"/>
          <w:sz w:val="22"/>
        </w:rPr>
        <w:t xml:space="preserve"> Signals management confidence in intrinsic value at current levels; provides EPS support. Watch for Q2 buyback activity disclosure.</w:t>
      </w:r>
    </w:p>
    <w:p>
      <w:pPr>
        <w:pStyle w:val="ListBullet"/>
        <w:ind w:left="360" w:hanging="360"/>
      </w:pPr>
      <w:r>
        <w:rPr>
          <w:rFonts w:ascii="Calibri" w:hAnsi="Calibri"/>
          <w:b/>
          <w:color w:val="525866"/>
          <w:sz w:val="22"/>
        </w:rPr>
        <w:t>Q1 2026 — JBP Momentum: 45 JBPs Signed in March Alone; Total JBP Count +55% YoY.</w:t>
      </w:r>
      <w:r>
        <w:rPr>
          <w:rFonts w:ascii="Calibri" w:hAnsi="Calibri"/>
          <w:color w:val="525866"/>
          <w:sz w:val="22"/>
        </w:rPr>
        <w:t xml:space="preserve"> March 2026 was TTD’s biggest month on record for JBP signings (45 in the month); total Q1 JBP count grew 55% YoY; new JBP deal spend (ex-renewals) grew 40% YoY. One pharma JBP expected to increase spend 114% YoY. </w:t>
      </w:r>
      <w:r>
        <w:rPr>
          <w:rFonts w:ascii="Calibri" w:hAnsi="Calibri"/>
          <w:b/>
          <w:color w:val="525866"/>
          <w:sz w:val="22"/>
        </w:rPr>
        <w:t>Implication:</w:t>
      </w:r>
      <w:r>
        <w:rPr>
          <w:rFonts w:ascii="Calibri" w:hAnsi="Calibri"/>
          <w:color w:val="525866"/>
          <w:sz w:val="22"/>
        </w:rPr>
        <w:t xml:space="preserve"> Strong leading indicator for H2 2026 revenue; JBPs represent committed enterprise spend. Watch for Q2 JBP update.</w:t>
      </w:r>
    </w:p>
    <w:p>
      <w:pPr>
        <w:pStyle w:val="ListBullet"/>
        <w:ind w:left="360" w:hanging="360"/>
      </w:pPr>
      <w:r>
        <w:rPr>
          <w:rFonts w:ascii="Calibri" w:hAnsi="Calibri"/>
          <w:b/>
          <w:color w:val="525866"/>
          <w:sz w:val="22"/>
        </w:rPr>
        <w:t>Q1 2026 — New Partnerships: LinkedIn (CTV B2B data), Lyft Ads (mobility media), Dollar General/Koddi (retail media), Stagwell (Agentic AI).</w:t>
      </w:r>
      <w:r>
        <w:rPr>
          <w:rFonts w:ascii="Calibri" w:hAnsi="Calibri"/>
          <w:color w:val="525866"/>
          <w:sz w:val="22"/>
        </w:rPr>
        <w:t xml:space="preserve"> LinkedIn selected TTD as its first DSP partner for B2B data activation in CTV; Lyft Ads chose TTD to power off-site rider experience; Dollar General/Kevel integration enables unified retail media; Stagwell partnership for agentic AI campaign management. </w:t>
      </w:r>
      <w:r>
        <w:rPr>
          <w:rFonts w:ascii="Calibri" w:hAnsi="Calibri"/>
          <w:b/>
          <w:color w:val="525866"/>
          <w:sz w:val="22"/>
        </w:rPr>
        <w:t>Implication:</w:t>
      </w:r>
      <w:r>
        <w:rPr>
          <w:rFonts w:ascii="Calibri" w:hAnsi="Calibri"/>
          <w:color w:val="525866"/>
          <w:sz w:val="22"/>
        </w:rPr>
        <w:t xml:space="preserve"> Broadens TTD’s TAM and reinforces platform differentiation; these are medium-term revenue contributors, not Q2 drivers.</w:t>
      </w:r>
    </w:p>
    <w:p>
      <w:pPr>
        <w:pStyle w:val="ListBullet"/>
        <w:ind w:left="360" w:hanging="360"/>
      </w:pPr>
      <w:r>
        <w:rPr>
          <w:rFonts w:ascii="Calibri" w:hAnsi="Calibri"/>
          <w:b/>
          <w:color w:val="525866"/>
          <w:sz w:val="22"/>
        </w:rPr>
        <w:t>Q1 2026 — Publicis Dispute: Ongoing Negotiations, No Incremental Update.</w:t>
      </w:r>
      <w:r>
        <w:rPr>
          <w:rFonts w:ascii="Calibri" w:hAnsi="Calibri"/>
          <w:color w:val="525866"/>
          <w:sz w:val="22"/>
        </w:rPr>
        <w:t xml:space="preserve"> Management characterized press coverage as "overdramatized" and confirmed billions in business done since 2018; negotiations about "next chapter" ongoing. No update since May 7. </w:t>
      </w:r>
      <w:r>
        <w:rPr>
          <w:rFonts w:ascii="Calibri" w:hAnsi="Calibri"/>
          <w:b/>
          <w:color w:val="525866"/>
          <w:sz w:val="22"/>
        </w:rPr>
        <w:t>Implication:</w:t>
      </w:r>
      <w:r>
        <w:rPr>
          <w:rFonts w:ascii="Calibri" w:hAnsi="Calibri"/>
          <w:color w:val="525866"/>
          <w:sz w:val="22"/>
        </w:rPr>
        <w:t xml:space="preserve"> Binary risk — resolution would be a positive catalyst; escalation or public breakdown would be a significant negative. Watch for any commentary on the Q2 call.</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Only one open-market transaction was disclosed in the post-Q1 window — a </w:t>
      </w:r>
      <w:r>
        <w:rPr>
          <w:rFonts w:ascii="Calibri" w:hAnsi="Calibri"/>
          <w:b/>
          <w:color w:val="525866"/>
          <w:sz w:val="22"/>
        </w:rPr>
        <w:t>discretionary sale by departing CSO Samantha Jacobson</w:t>
      </w:r>
      <w:r>
        <w:rPr>
          <w:rFonts w:ascii="Calibri" w:hAnsi="Calibri"/>
          <w:color w:val="525866"/>
          <w:sz w:val="22"/>
        </w:rPr>
        <w:t xml:space="preserve"> on May 28, 2026, consistent with her announced departure to OpenAI. No open-market purchases by executives or directors were disclosed. The absence of insider buying at these depressed price levels (~$18–23 range) is notable but not alarming given the 10b5-1 plan culture at most large-cap tech companies.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Samantha Jacobson</w:t>
            </w:r>
          </w:p>
        </w:tc>
        <w:tc>
          <w:tcPr>
            <w:tcW w:type="dxa" w:w="1440"/>
          </w:tcPr>
          <w:p>
            <w:r>
              <w:rPr>
                <w:rFonts w:ascii="Calibri" w:hAnsi="Calibri"/>
                <w:sz w:val="22"/>
              </w:rPr>
              <w:t>Director (former CSO)</w:t>
            </w:r>
          </w:p>
        </w:tc>
        <w:tc>
          <w:tcPr>
            <w:tcW w:type="dxa" w:w="1440"/>
          </w:tcPr>
          <w:p>
            <w:r>
              <w:rPr>
                <w:rFonts w:ascii="Calibri" w:hAnsi="Calibri"/>
                <w:sz w:val="22"/>
              </w:rPr>
              <w:t>Open Market Sale</w:t>
            </w:r>
          </w:p>
        </w:tc>
        <w:tc>
          <w:tcPr>
            <w:tcW w:type="dxa" w:w="1440"/>
          </w:tcPr>
          <w:p>
            <w:r>
              <w:rPr>
                <w:rFonts w:ascii="Calibri" w:hAnsi="Calibri"/>
                <w:sz w:val="22"/>
              </w:rPr>
              <w:t>53,681 shares</w:t>
            </w:r>
          </w:p>
        </w:tc>
        <w:tc>
          <w:tcPr>
            <w:tcW w:type="dxa" w:w="1440"/>
          </w:tcPr>
          <w:p>
            <w:r>
              <w:rPr>
                <w:rFonts w:ascii="Calibri" w:hAnsi="Calibri"/>
                <w:sz w:val="22"/>
              </w:rPr>
              <w:t>May 28, 2026</w:t>
            </w:r>
          </w:p>
        </w:tc>
        <w:tc>
          <w:tcPr>
            <w:tcW w:type="dxa" w:w="1440"/>
          </w:tcPr>
          <w:p>
            <w:r>
              <w:rPr>
                <w:rFonts w:ascii="Calibri" w:hAnsi="Calibri"/>
                <w:sz w:val="22"/>
              </w:rPr>
              <w:t>Discretionary sale; consistent with departure to OpenAI announced May 7, 2026. Not flagged as 10b5-1 plan. 13,099 shares retained post-transaction.</w:t>
            </w:r>
          </w:p>
        </w:tc>
      </w:tr>
    </w:tbl>
    <w:p>
      <w:r>
        <w:rPr>
          <w:rFonts w:ascii="Calibri" w:hAnsi="Calibri"/>
          <w:i/>
          <w:color w:val="525866"/>
          <w:sz w:val="22"/>
        </w:rPr>
        <w:t>Source: SEC Form 4 Filing — Jacobson Samantha (TTD), filed June 1, 2026, transaction date May 28, 2026.</w:t>
      </w:r>
    </w:p>
    <w:p>
      <w:r>
        <w:rPr>
          <w:rFonts w:ascii="Calibri" w:hAnsi="Calibri"/>
          <w:i/>
          <w:color w:val="525866"/>
          <w:sz w:val="22"/>
        </w:rPr>
        <w:t>No other open-market buys or sells were disclosed by TTD insiders in the May 7 – August 5, 2026 window. No 10b5-1 plan initiations were identified in the search window.</w:t>
      </w:r>
    </w:p>
    <w:p>
      <w:r>
        <w:br w:type="page"/>
      </w:r>
    </w:p>
    <w:p>
      <w:pPr>
        <w:pStyle w:val="Heading2"/>
      </w:pPr>
      <w:r>
        <w:rPr>
          <w:rFonts w:ascii="Calibri" w:hAnsi="Calibri"/>
          <w:b/>
          <w:color w:val="3B4259"/>
          <w:sz w:val="28"/>
        </w:rPr>
        <w:t>8. Peer Commentaries &amp;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TTD’s Q2 setup</w:t>
      </w:r>
      <w:r>
        <w:rPr>
          <w:rFonts w:ascii="Calibri" w:hAnsi="Calibri"/>
          <w:color w:val="525866"/>
          <w:sz w:val="22"/>
        </w:rPr>
        <w:t xml:space="preserve"> — digital ad demand was healthy across META, GOOGL, SNAP, and PINS, CTV programmatic growth accelerated sharply at MGNI (+36% YoY), and macro conditions improved relative to Q2 2025. The primary risk is that TTD’s open-internet DSP business may not fully participate in the walled-garden strength, and GOOGL’s network ad revenue (the closest open-web proxy) was down 1% YoY.</w:t>
      </w:r>
    </w:p>
    <w:p>
      <w:r>
        <w:rPr>
          <w:rFonts w:ascii="Calibri" w:hAnsi="Calibri"/>
          <w:b/>
          <w:color w:val="525866"/>
          <w:sz w:val="22"/>
        </w:rPr>
        <w:t xml:space="preserve">Note on scope: </w:t>
      </w:r>
      <w:r>
        <w:rPr>
          <w:rFonts w:ascii="Calibri" w:hAnsi="Calibri"/>
          <w:i/>
          <w:color w:val="525866"/>
          <w:sz w:val="22"/>
        </w:rPr>
        <w:t>All commentary below is from Q2 2026 earnings calls (reported June–August 2026) and reflects conditions during Q2 2026 (April–June 2026) or forward Q3 2026 outlook. No prior-quarter stale commentary is included.</w:t>
      </w:r>
    </w:p>
    <w:p>
      <w:pPr>
        <w:pStyle w:val="Heading3"/>
      </w:pPr>
      <w:r>
        <w:rPr>
          <w:rFonts w:ascii="Calibri" w:hAnsi="Calibri"/>
          <w:b/>
          <w:color w:val="3B4259"/>
          <w:sz w:val="24"/>
        </w:rPr>
        <w:t>Magnite (MGNI) — Q2 2026 Earnings (Reported August 5, 2026)</w:t>
      </w:r>
    </w:p>
    <w:p>
      <w:r>
        <w:rPr>
          <w:rFonts w:ascii="Calibri" w:hAnsi="Calibri"/>
          <w:b/>
          <w:color w:val="525866"/>
          <w:sz w:val="22"/>
        </w:rPr>
        <w:t xml:space="preserve">Implication for TTD: </w:t>
      </w:r>
      <w:r>
        <w:rPr>
          <w:rFonts w:ascii="Calibri" w:hAnsi="Calibri"/>
          <w:b/>
          <w:color w:val="30A46C"/>
          <w:sz w:val="22"/>
        </w:rPr>
        <w:t>POSITIVE</w:t>
      </w:r>
      <w:r>
        <w:rPr>
          <w:rFonts w:ascii="Calibri" w:hAnsi="Calibri"/>
          <w:color w:val="525866"/>
          <w:sz w:val="22"/>
        </w:rPr>
        <w:t>. Magnite is TTD’s most direct supply-side read-through for the open-internet programmatic ecosystem. MGNI’s Q2 2026 was an "outstanding" quarter that "significantly exceeded expectations across the business," with total contribution ex-TAC of $190M (+17% YoY), well above guidance. CTV contribution reached $97M, growing 36% YoY and representing 51% of total contribution — the strongest signal yet that programmatic CTV is accelerating. MGNI’s top-10 CTV accounts grew in the "mid-to-high 40% range" YoY. Management declared that "the market has reached an important inflection point as programmatic becomes the desired way to transact on streaming television." DV+ (open-web display/video) returned to growth at +2% YoY after prior declines. Mobile in-app grew 17% YoY. Health/fitness, technology, and finance were the strongest verticals; automotive returned to growth but "remains depressed." International CTV growth is accelerating as major streamers expand globally and lean on programmatic. MGNI raised its full-year 2026 guidance: total contribution growth to 13–14% (from ≥11%), adj. EBITDA margin to ≥37% (from ≥35.5%), and free cash flow growth to high-40% range. For Q3 2026, MGNI guided CTV contribution of $98–100M (+29–32% YoY), a slight deceleration from Q2’s 36% due to tougher comps and managed-service runoff. Disney’s Q2 earnings were cited as confirming that "international [is] growing faster in the programmatic bucket." Agentic advertising is in early stages ("crawl stage") with only a "handful of millions" transacted to date, but management sees it as a mid-to-long-term TAM expansion driver.</w:t>
      </w:r>
    </w:p>
    <w:p>
      <w:r>
        <w:rPr>
          <w:rFonts w:ascii="Calibri" w:hAnsi="Calibri"/>
          <w:b/>
          <w:color w:val="525866"/>
          <w:sz w:val="22"/>
        </w:rPr>
        <w:t xml:space="preserve">Key read-through: </w:t>
      </w:r>
      <w:r>
        <w:rPr>
          <w:rFonts w:ascii="Calibri" w:hAnsi="Calibri"/>
          <w:color w:val="525866"/>
          <w:sz w:val="22"/>
        </w:rPr>
        <w:t>The 36% CTV growth and programmatic inflection point commentary is the single most bullish data point for TTD heading into Q2. If MGNI’s supply-side CTV acceleration is real, TTD as the leading independent DSP should be capturing meaningful demand-side share. The automotive recovery (from Q1’s top-declining category to growth) is also a mild positive for TTD’s vertical mix. The only cautionary note is MGNI’s conservative macro language ("stubborn inflation, volatile energy prices, geopolitical challenges") and the DV+ near-flat growth, which is more directly comparable to TTD’s open-web display exposure.</w:t>
      </w:r>
    </w:p>
    <w:p>
      <w:pPr>
        <w:pStyle w:val="Heading3"/>
      </w:pPr>
      <w:r>
        <w:rPr>
          <w:rFonts w:ascii="Calibri" w:hAnsi="Calibri"/>
          <w:b/>
          <w:color w:val="3B4259"/>
          <w:sz w:val="24"/>
        </w:rPr>
        <w:t>Alphabet / Google (GOOGL) — Q2 2026 Earnings (Reported July 22, 2026)</w:t>
      </w:r>
    </w:p>
    <w:p>
      <w:r>
        <w:rPr>
          <w:rFonts w:ascii="Calibri" w:hAnsi="Calibri"/>
          <w:b/>
          <w:color w:val="525866"/>
          <w:sz w:val="22"/>
        </w:rPr>
        <w:t xml:space="preserve">Implication for TTD: </w:t>
      </w:r>
      <w:r>
        <w:rPr>
          <w:rFonts w:ascii="Calibri" w:hAnsi="Calibri"/>
          <w:b/>
          <w:color w:val="002FA7"/>
          <w:sz w:val="22"/>
        </w:rPr>
        <w:t>MIXED</w:t>
      </w:r>
      <w:r>
        <w:rPr>
          <w:rFonts w:ascii="Calibri" w:hAnsi="Calibri"/>
          <w:color w:val="525866"/>
          <w:sz w:val="22"/>
        </w:rPr>
        <w:t xml:space="preserve">. GOOGL reported strong overall Q2 2026 results with consolidated revenues of $119.8B (+24% YoY). Total advertising revenues were up 14% YoY "with growth across all major verticals." Google Search grew 17% YoY to $63.3B, driven by retail and finance, with AI (Gemini) described as driving an "expansionary movement" in search queries. YouTube advertising grew 13% YoY to $11.1B, with "continued momentum across both brand and direct response" in the living room (CTV), and the FIFA World Cup 2026 becoming the "most viewed World Cup in YouTube history" with 1.7B unique viewers. New CTV shoppable formats ("buy with Google Pay") are turning the TV screen into a "stronger performance surface." However, </w:t>
      </w:r>
      <w:r>
        <w:rPr>
          <w:rFonts w:ascii="Calibri" w:hAnsi="Calibri"/>
          <w:b/>
          <w:color w:val="525866"/>
          <w:sz w:val="22"/>
        </w:rPr>
        <w:t>Google Network advertising revenues (the closest open-web programmatic proxy) were $7.3B, down 1% YoY</w:t>
      </w:r>
      <w:r>
        <w:rPr>
          <w:rFonts w:ascii="Calibri" w:hAnsi="Calibri"/>
          <w:color w:val="525866"/>
          <w:sz w:val="22"/>
        </w:rPr>
        <w:t xml:space="preserve"> — a direct negative signal for the open-internet ecosystem TTD operates in. AI-powered campaigns (Pmax/Imax) are delivering 15% more conversions at similar ROAS, and AI is unlocking "billions of net new searches that weren’t really monetizable before." For Q3 2026, GOOGL flagged a "slight FX headwind" and noted it will begin "lapping an acceleration in search performance that began in Q3 last year," implying tougher comps.</w:t>
      </w:r>
    </w:p>
    <w:p>
      <w:r>
        <w:rPr>
          <w:rFonts w:ascii="Calibri" w:hAnsi="Calibri"/>
          <w:b/>
          <w:color w:val="525866"/>
          <w:sz w:val="22"/>
        </w:rPr>
        <w:t xml:space="preserve">Key read-through: </w:t>
      </w:r>
      <w:r>
        <w:rPr>
          <w:rFonts w:ascii="Calibri" w:hAnsi="Calibri"/>
          <w:color w:val="525866"/>
          <w:sz w:val="22"/>
        </w:rPr>
        <w:t>The YouTube/CTV strength and broad advertiser demand are positive for the overall digital ad market. However, the -1% YoY decline in Google Network revenues is the most direct open-web signal and is a mild negative for TTD’s display/open-web business. The strong search and YouTube performance may also reflect budget concentration in walled gardens at the expense of open-internet DSP spend — a structural concern TTD has long flagged but which remains a near-term headwind.</w:t>
      </w:r>
    </w:p>
    <w:p>
      <w:pPr>
        <w:pStyle w:val="Heading3"/>
      </w:pPr>
      <w:r>
        <w:rPr>
          <w:rFonts w:ascii="Calibri" w:hAnsi="Calibri"/>
          <w:b/>
          <w:color w:val="3B4259"/>
          <w:sz w:val="24"/>
        </w:rPr>
        <w:t>Meta Platforms (META) — Q2 2026 Earnings (Reported July 29, 2026)</w:t>
      </w:r>
    </w:p>
    <w:p>
      <w:r>
        <w:rPr>
          <w:rFonts w:ascii="Calibri" w:hAnsi="Calibri"/>
          <w:b/>
          <w:color w:val="525866"/>
          <w:sz w:val="22"/>
        </w:rPr>
        <w:t xml:space="preserve">Implication for TTD: </w:t>
      </w:r>
      <w:r>
        <w:rPr>
          <w:rFonts w:ascii="Calibri" w:hAnsi="Calibri"/>
          <w:b/>
          <w:color w:val="30A46C"/>
          <w:sz w:val="22"/>
        </w:rPr>
        <w:t>POSITIVE</w:t>
      </w:r>
      <w:r>
        <w:rPr>
          <w:rFonts w:ascii="Calibri" w:hAnsi="Calibri"/>
          <w:color w:val="525866"/>
          <w:sz w:val="22"/>
        </w:rPr>
        <w:t>. META reported Q2 2026 Family of Apps ad revenue of $59.4B, up 27% YoY (26% constant currency) — the fastest YoY growth rate of any major reported ad business. Total ad impressions grew 14% YoY, with "impression growth healthy across all regions." The global average price per ad increased 12% YoY, driven by "ad performance gains" and "improvements in macro conditions relative to Q2 of last year." The explicit mention of improved macro conditions is the most important read-through for TTD: if the macro environment improved enough to drive 12% ad price inflation at META, it suggests brand advertisers broadly increased budgets in Q2 2026. AI-driven ad tools (meta generative recommender, Advantage+) are driving significant performance gains — 8.3% increase in ad clicks and 15.7% uplift in conversions on Facebook. Advantage+ end-to-end solutions reached over $75B in annual revenue run rate. For Q3 2026, META guided total revenue of $61–64B, implying continued strong growth.</w:t>
      </w:r>
    </w:p>
    <w:p>
      <w:r>
        <w:rPr>
          <w:rFonts w:ascii="Calibri" w:hAnsi="Calibri"/>
          <w:b/>
          <w:color w:val="525866"/>
          <w:sz w:val="22"/>
        </w:rPr>
        <w:t xml:space="preserve">Key read-through: </w:t>
      </w:r>
      <w:r>
        <w:rPr>
          <w:rFonts w:ascii="Calibri" w:hAnsi="Calibri"/>
          <w:color w:val="525866"/>
          <w:sz w:val="22"/>
        </w:rPr>
        <w:t>META’s 27% ad revenue growth and explicit "improvements in macro conditions" commentary is the strongest macro positive for TTD’s Q2 setup. If brand advertisers were increasing budgets at META, they were likely also increasing programmatic open-internet budgets. The 12% ad price inflation suggests demand was robust, not just volume-driven. The risk is that META’s AI-driven performance gains may be pulling budget from open-internet DSP channels into walled gardens — a structural tension TTD must navigate.</w:t>
      </w:r>
    </w:p>
    <w:p>
      <w:pPr>
        <w:pStyle w:val="Heading3"/>
      </w:pPr>
      <w:r>
        <w:rPr>
          <w:rFonts w:ascii="Calibri" w:hAnsi="Calibri"/>
          <w:b/>
          <w:color w:val="3B4259"/>
          <w:sz w:val="24"/>
        </w:rPr>
        <w:t>Snap Inc. (SNAP) — Q2 2026 Earnings (Reported August 3, 2026)</w:t>
      </w:r>
    </w:p>
    <w:p>
      <w:r>
        <w:rPr>
          <w:rFonts w:ascii="Calibri" w:hAnsi="Calibri"/>
          <w:b/>
          <w:color w:val="525866"/>
          <w:sz w:val="22"/>
        </w:rPr>
        <w:t xml:space="preserve">Implication for TTD: </w:t>
      </w:r>
      <w:r>
        <w:rPr>
          <w:rFonts w:ascii="Calibri" w:hAnsi="Calibri"/>
          <w:b/>
          <w:color w:val="30A46C"/>
          <w:sz w:val="22"/>
        </w:rPr>
        <w:t>POSITIVE</w:t>
      </w:r>
      <w:r>
        <w:rPr>
          <w:rFonts w:ascii="Calibri" w:hAnsi="Calibri"/>
          <w:color w:val="525866"/>
          <w:sz w:val="22"/>
        </w:rPr>
        <w:t>. Snap reported Q2 2026 advertising revenue of $1.28B, up 9% YoY, with "better momentum with large advertisers in North America and stronger revenue growth internationally." World Cup-related spending contributed to the quarter. Snap’s audience is broadening among users aged 35+, increasing relevance in automotive, healthcare, home goods, financial services, insurance, and B2B — several of these verticals overlap with TTD’s key advertiser categories. Smart Campaign Solutions (AI-powered automation) drove strong lower-funnel performance: cost per install −8% YoY, cost per purchase −18% YoY, app purchase volume +128% YoY, and dynamic product ads revenue +43% YoY. Conversions across the platform increased 56% YoY. For Q3 2026, Snap guided revenue of $1.70–1.74B, reflecting normalization of World Cup spend and tougher YoY comps. Management noted "constructive trends" including large advertiser momentum in North America and SMB strength.</w:t>
      </w:r>
    </w:p>
    <w:p>
      <w:r>
        <w:rPr>
          <w:rFonts w:ascii="Calibri" w:hAnsi="Calibri"/>
          <w:b/>
          <w:color w:val="525866"/>
          <w:sz w:val="22"/>
        </w:rPr>
        <w:t xml:space="preserve">Key read-through: </w:t>
      </w:r>
      <w:r>
        <w:rPr>
          <w:rFonts w:ascii="Calibri" w:hAnsi="Calibri"/>
          <w:color w:val="525866"/>
          <w:sz w:val="22"/>
        </w:rPr>
        <w:t>Snap’s 9% ad revenue growth and "large advertiser momentum in North America" commentary is a mild positive for TTD. The strong lower-funnel performance metrics suggest advertisers are seeing ROI from digital spend, which supports continued budget allocation. The automotive and healthcare vertical strength is particularly relevant given TTD’s exposure to those categories. The Q3 guidance deceleration (due to World Cup comp normalization) is a calendar-specific factor, not a demand signal.</w:t>
      </w:r>
    </w:p>
    <w:p>
      <w:pPr>
        <w:pStyle w:val="Heading3"/>
      </w:pPr>
      <w:r>
        <w:rPr>
          <w:rFonts w:ascii="Calibri" w:hAnsi="Calibri"/>
          <w:b/>
          <w:color w:val="3B4259"/>
          <w:sz w:val="24"/>
        </w:rPr>
        <w:t>Pinterest (PINS) — Q2 2026 Earnings (Reported August 4, 2026)</w:t>
      </w:r>
    </w:p>
    <w:p>
      <w:r>
        <w:rPr>
          <w:rFonts w:ascii="Calibri" w:hAnsi="Calibri"/>
          <w:b/>
          <w:color w:val="525866"/>
          <w:sz w:val="22"/>
        </w:rPr>
        <w:t xml:space="preserve">Implication for TTD: </w:t>
      </w:r>
      <w:r>
        <w:rPr>
          <w:rFonts w:ascii="Calibri" w:hAnsi="Calibri"/>
          <w:b/>
          <w:color w:val="30A46C"/>
          <w:sz w:val="22"/>
        </w:rPr>
        <w:t>POSITIVE</w:t>
      </w:r>
      <w:r>
        <w:rPr>
          <w:rFonts w:ascii="Calibri" w:hAnsi="Calibri"/>
          <w:color w:val="525866"/>
          <w:sz w:val="22"/>
        </w:rPr>
        <w:t>. Pinterest reported Q2 2026 global revenue of $1.18B, up 18% YoY, with US &amp; Canada (UConn) accelerating 5 points sequentially to 18% YoY growth. Growth was driven by ad platform improvements (ROAS enhancements, AI-driven bidding), large retailer spend acceleration, and strength in financial services, travel, and health verticals. Ad impressions grew 16% YoY; ad pricing increased 1% YoY. Pinterest is expanding into CTV through TV Scientific, with plans to fully integrate CTV capabilities into Pinterest Performance Plus by 2027. Measurement system integrations with large advertisers’ in-house systems are driving "strong performance." For Q3 2026, Pinterest guided revenue of $1.19–1.21B (+13–15% YoY), with headwinds from FX, Prime Day shift, and World Cup comp normalization, partially offset by continued UConn strength. Europe faces pressure from Asia-based cross-border retailer regulatory actions.</w:t>
      </w:r>
    </w:p>
    <w:p>
      <w:r>
        <w:rPr>
          <w:rFonts w:ascii="Calibri" w:hAnsi="Calibri"/>
          <w:b/>
          <w:color w:val="525866"/>
          <w:sz w:val="22"/>
        </w:rPr>
        <w:t xml:space="preserve">Key read-through: </w:t>
      </w:r>
      <w:r>
        <w:rPr>
          <w:rFonts w:ascii="Calibri" w:hAnsi="Calibri"/>
          <w:color w:val="525866"/>
          <w:sz w:val="22"/>
        </w:rPr>
        <w:t>Pinterest’s 18% revenue growth and retailer spend acceleration are positive signals for the broader digital ad market. The emphasis on AI-driven ROAS improvements and measurement integration aligns with TTD’s own Kokai and Audience Unlimited value proposition — suggesting advertisers are rewarding platforms that deliver measurable performance. The CTV expansion into TV Scientific is a longer-term competitive dynamic to monitor, but is not a near-term threat to TTD’s CTV DSP position.</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TTD Read-Through</w:t>
            </w:r>
          </w:p>
        </w:tc>
        <w:tc>
          <w:tcPr>
            <w:tcW w:type="dxa" w:w="1728"/>
            <w:shd w:val="clear" w:color="auto" w:fill="3B4259"/>
          </w:tcPr>
          <w:p>
            <w:r>
              <w:rPr>
                <w:rFonts w:ascii="Calibri" w:hAnsi="Calibri"/>
                <w:b/>
                <w:color w:val="FFFFFF"/>
                <w:sz w:val="22"/>
              </w:rPr>
              <w:t>Implication</w:t>
            </w:r>
          </w:p>
        </w:tc>
      </w:tr>
      <w:tr>
        <w:tc>
          <w:tcPr>
            <w:tcW w:type="dxa" w:w="1728"/>
          </w:tcPr>
          <w:p>
            <w:r>
              <w:rPr>
                <w:rFonts w:ascii="Calibri" w:hAnsi="Calibri"/>
                <w:sz w:val="22"/>
              </w:rPr>
              <w:t>MGNI</w:t>
            </w:r>
          </w:p>
        </w:tc>
        <w:tc>
          <w:tcPr>
            <w:tcW w:type="dxa" w:w="1728"/>
          </w:tcPr>
          <w:p>
            <w:r>
              <w:rPr>
                <w:rFonts w:ascii="Calibri" w:hAnsi="Calibri"/>
                <w:sz w:val="22"/>
              </w:rPr>
              <w:t>Aug 5, 2026</w:t>
            </w:r>
          </w:p>
        </w:tc>
        <w:tc>
          <w:tcPr>
            <w:tcW w:type="dxa" w:w="1728"/>
          </w:tcPr>
          <w:p>
            <w:r>
              <w:rPr>
                <w:rFonts w:ascii="Calibri" w:hAnsi="Calibri"/>
                <w:sz w:val="22"/>
              </w:rPr>
              <w:t>CTV contribution +36% YoY; programmatic "inflection point"; DV+ returned to growth; raised FY guidance</w:t>
            </w:r>
          </w:p>
        </w:tc>
        <w:tc>
          <w:tcPr>
            <w:tcW w:type="dxa" w:w="1728"/>
          </w:tcPr>
          <w:p>
            <w:r>
              <w:rPr>
                <w:rFonts w:ascii="Calibri" w:hAnsi="Calibri"/>
                <w:sz w:val="22"/>
              </w:rPr>
              <w:t>Strongest direct read-through; supply-side CTV acceleration implies strong DSP demand</w:t>
            </w:r>
          </w:p>
        </w:tc>
        <w:tc>
          <w:tcPr>
            <w:tcW w:type="dxa" w:w="1728"/>
          </w:tcPr>
          <w:p>
            <w:r>
              <w:rPr>
                <w:rFonts w:ascii="Calibri" w:hAnsi="Calibri"/>
                <w:b/>
                <w:color w:val="30A46C"/>
                <w:sz w:val="22"/>
              </w:rPr>
              <w:t>POSITIVE</w:t>
            </w:r>
          </w:p>
        </w:tc>
      </w:tr>
      <w:tr>
        <w:tc>
          <w:tcPr>
            <w:tcW w:type="dxa" w:w="1728"/>
          </w:tcPr>
          <w:p>
            <w:r>
              <w:rPr>
                <w:rFonts w:ascii="Calibri" w:hAnsi="Calibri"/>
                <w:sz w:val="22"/>
              </w:rPr>
              <w:t>META</w:t>
            </w:r>
          </w:p>
        </w:tc>
        <w:tc>
          <w:tcPr>
            <w:tcW w:type="dxa" w:w="1728"/>
          </w:tcPr>
          <w:p>
            <w:r>
              <w:rPr>
                <w:rFonts w:ascii="Calibri" w:hAnsi="Calibri"/>
                <w:sz w:val="22"/>
              </w:rPr>
              <w:t>Jul 29, 2026</w:t>
            </w:r>
          </w:p>
        </w:tc>
        <w:tc>
          <w:tcPr>
            <w:tcW w:type="dxa" w:w="1728"/>
          </w:tcPr>
          <w:p>
            <w:r>
              <w:rPr>
                <w:rFonts w:ascii="Calibri" w:hAnsi="Calibri"/>
                <w:sz w:val="22"/>
              </w:rPr>
              <w:t>Ad revenue +27% YoY; ad prices +12% YoY; "improvements in macro conditions"; Advantage+ at $75B+ run rate</w:t>
            </w:r>
          </w:p>
        </w:tc>
        <w:tc>
          <w:tcPr>
            <w:tcW w:type="dxa" w:w="1728"/>
          </w:tcPr>
          <w:p>
            <w:r>
              <w:rPr>
                <w:rFonts w:ascii="Calibri" w:hAnsi="Calibri"/>
                <w:sz w:val="22"/>
              </w:rPr>
              <w:t>Macro improvement signal is key; budget growth at META suggests broader advertiser spend expansion</w:t>
            </w:r>
          </w:p>
        </w:tc>
        <w:tc>
          <w:tcPr>
            <w:tcW w:type="dxa" w:w="1728"/>
          </w:tcPr>
          <w:p>
            <w:r>
              <w:rPr>
                <w:rFonts w:ascii="Calibri" w:hAnsi="Calibri"/>
                <w:b/>
                <w:color w:val="30A46C"/>
                <w:sz w:val="22"/>
              </w:rPr>
              <w:t>POSITIVE</w:t>
            </w:r>
          </w:p>
        </w:tc>
      </w:tr>
      <w:tr>
        <w:tc>
          <w:tcPr>
            <w:tcW w:type="dxa" w:w="1728"/>
          </w:tcPr>
          <w:p>
            <w:r>
              <w:rPr>
                <w:rFonts w:ascii="Calibri" w:hAnsi="Calibri"/>
                <w:sz w:val="22"/>
              </w:rPr>
              <w:t>GOOGL</w:t>
            </w:r>
          </w:p>
        </w:tc>
        <w:tc>
          <w:tcPr>
            <w:tcW w:type="dxa" w:w="1728"/>
          </w:tcPr>
          <w:p>
            <w:r>
              <w:rPr>
                <w:rFonts w:ascii="Calibri" w:hAnsi="Calibri"/>
                <w:sz w:val="22"/>
              </w:rPr>
              <w:t>Jul 22, 2026</w:t>
            </w:r>
          </w:p>
        </w:tc>
        <w:tc>
          <w:tcPr>
            <w:tcW w:type="dxa" w:w="1728"/>
          </w:tcPr>
          <w:p>
            <w:r>
              <w:rPr>
                <w:rFonts w:ascii="Calibri" w:hAnsi="Calibri"/>
                <w:sz w:val="22"/>
              </w:rPr>
              <w:t>Total ad revenue +14% YoY; YouTube +13%; Network (open-web) -1% YoY; CTV living room strength</w:t>
            </w:r>
          </w:p>
        </w:tc>
        <w:tc>
          <w:tcPr>
            <w:tcW w:type="dxa" w:w="1728"/>
          </w:tcPr>
          <w:p>
            <w:r>
              <w:rPr>
                <w:rFonts w:ascii="Calibri" w:hAnsi="Calibri"/>
                <w:sz w:val="22"/>
              </w:rPr>
              <w:t>YouTube/CTV positive; Network -1% is direct open-web negative; mixed for TTD’s DSP business</w:t>
            </w:r>
          </w:p>
        </w:tc>
        <w:tc>
          <w:tcPr>
            <w:tcW w:type="dxa" w:w="1728"/>
          </w:tcPr>
          <w:p>
            <w:r>
              <w:rPr>
                <w:rFonts w:ascii="Calibri" w:hAnsi="Calibri"/>
                <w:b/>
                <w:color w:val="002FA7"/>
                <w:sz w:val="22"/>
              </w:rPr>
              <w:t>MIXED</w:t>
            </w:r>
          </w:p>
        </w:tc>
      </w:tr>
      <w:tr>
        <w:tc>
          <w:tcPr>
            <w:tcW w:type="dxa" w:w="1728"/>
          </w:tcPr>
          <w:p>
            <w:r>
              <w:rPr>
                <w:rFonts w:ascii="Calibri" w:hAnsi="Calibri"/>
                <w:sz w:val="22"/>
              </w:rPr>
              <w:t>SNAP</w:t>
            </w:r>
          </w:p>
        </w:tc>
        <w:tc>
          <w:tcPr>
            <w:tcW w:type="dxa" w:w="1728"/>
          </w:tcPr>
          <w:p>
            <w:r>
              <w:rPr>
                <w:rFonts w:ascii="Calibri" w:hAnsi="Calibri"/>
                <w:sz w:val="22"/>
              </w:rPr>
              <w:t>Aug 3, 2026</w:t>
            </w:r>
          </w:p>
        </w:tc>
        <w:tc>
          <w:tcPr>
            <w:tcW w:type="dxa" w:w="1728"/>
          </w:tcPr>
          <w:p>
            <w:r>
              <w:rPr>
                <w:rFonts w:ascii="Calibri" w:hAnsi="Calibri"/>
                <w:sz w:val="22"/>
              </w:rPr>
              <w:t>Ad revenue +9% YoY; large advertiser momentum in North America; conversions +56% YoY; SMB strength</w:t>
            </w:r>
          </w:p>
        </w:tc>
        <w:tc>
          <w:tcPr>
            <w:tcW w:type="dxa" w:w="1728"/>
          </w:tcPr>
          <w:p>
            <w:r>
              <w:rPr>
                <w:rFonts w:ascii="Calibri" w:hAnsi="Calibri"/>
                <w:sz w:val="22"/>
              </w:rPr>
              <w:t>Large advertiser North America momentum and vertical breadth (auto, healthcare) are positive signals</w:t>
            </w:r>
          </w:p>
        </w:tc>
        <w:tc>
          <w:tcPr>
            <w:tcW w:type="dxa" w:w="1728"/>
          </w:tcPr>
          <w:p>
            <w:r>
              <w:rPr>
                <w:rFonts w:ascii="Calibri" w:hAnsi="Calibri"/>
                <w:b/>
                <w:color w:val="30A46C"/>
                <w:sz w:val="22"/>
              </w:rPr>
              <w:t>POSITIVE</w:t>
            </w:r>
          </w:p>
        </w:tc>
      </w:tr>
      <w:tr>
        <w:tc>
          <w:tcPr>
            <w:tcW w:type="dxa" w:w="1728"/>
          </w:tcPr>
          <w:p>
            <w:r>
              <w:rPr>
                <w:rFonts w:ascii="Calibri" w:hAnsi="Calibri"/>
                <w:sz w:val="22"/>
              </w:rPr>
              <w:t>PINS</w:t>
            </w:r>
          </w:p>
        </w:tc>
        <w:tc>
          <w:tcPr>
            <w:tcW w:type="dxa" w:w="1728"/>
          </w:tcPr>
          <w:p>
            <w:r>
              <w:rPr>
                <w:rFonts w:ascii="Calibri" w:hAnsi="Calibri"/>
                <w:sz w:val="22"/>
              </w:rPr>
              <w:t>Aug 4, 2026</w:t>
            </w:r>
          </w:p>
        </w:tc>
        <w:tc>
          <w:tcPr>
            <w:tcW w:type="dxa" w:w="1728"/>
          </w:tcPr>
          <w:p>
            <w:r>
              <w:rPr>
                <w:rFonts w:ascii="Calibri" w:hAnsi="Calibri"/>
                <w:sz w:val="22"/>
              </w:rPr>
              <w:t>Revenue +18% YoY; UConn +18% (5pt acceleration); retailer spend acceleration; AI-driven ROAS gains</w:t>
            </w:r>
          </w:p>
        </w:tc>
        <w:tc>
          <w:tcPr>
            <w:tcW w:type="dxa" w:w="1728"/>
          </w:tcPr>
          <w:p>
            <w:r>
              <w:rPr>
                <w:rFonts w:ascii="Calibri" w:hAnsi="Calibri"/>
                <w:sz w:val="22"/>
              </w:rPr>
              <w:t>Retailer/brand spend acceleration and AI-driven performance demand align with TTD’s value proposition</w:t>
            </w:r>
          </w:p>
        </w:tc>
        <w:tc>
          <w:tcPr>
            <w:tcW w:type="dxa" w:w="1728"/>
          </w:tcPr>
          <w:p>
            <w:r>
              <w:rPr>
                <w:rFonts w:ascii="Calibri" w:hAnsi="Calibri"/>
                <w:b/>
                <w:color w:val="30A46C"/>
                <w:sz w:val="22"/>
              </w:rPr>
              <w:t>POSITIVE</w:t>
            </w:r>
          </w:p>
        </w:tc>
      </w:tr>
    </w:tbl>
    <w:p>
      <w:r>
        <w:rPr>
          <w:rFonts w:ascii="Calibri" w:hAnsi="Calibri"/>
          <w:b/>
          <w:color w:val="525866"/>
          <w:sz w:val="22"/>
        </w:rPr>
        <w:t xml:space="preserve">Aggregate Read-Through Assessment: </w:t>
      </w:r>
      <w:r>
        <w:rPr>
          <w:rFonts w:ascii="Calibri" w:hAnsi="Calibri"/>
          <w:color w:val="525866"/>
          <w:sz w:val="22"/>
        </w:rPr>
        <w:t>4 of 5 peers are positive read-throughs for TTD’s Q2 2026 setup. The collective message is that digital advertising demand was healthy in Q2 2026, macro conditions improved relative to Q2 2025, CTV programmatic is accelerating, and large brand advertisers were increasing budgets. The primary risk is GOOGL’s -1% YoY Network ad revenue decline, which is the most direct open-web proxy and suggests the open-internet ecosystem may not be fully participating in the walled-garden strength. TTD’s ability to demonstrate that its independent DSP model captures CTV and brand budget growth — rather than ceding it to walled gardens — is the central question for the Q2 print and the H2 2026 outlook.</w:t>
      </w:r>
    </w:p>
    <w:p>
      <w:r>
        <w:rPr>
          <w:rFonts w:ascii="Calibri" w:hAnsi="Calibri"/>
          <w:i/>
          <w:color w:val="525866"/>
          <w:sz w:val="22"/>
        </w:rPr>
        <w:t>Sources: MGNI Q2 2026 Earnings Call Transcript (Aug 5, 2026); GOOGL Q2 2026 Earnings Call Transcript (Jul 22, 2026); META Q2 2026 Earnings Call Transcript (Jul 29, 2026); SNAP Q2 2026 Earnings Call Transcript (Aug 3, 2026); PINS Q2 2026 Earnings Call Transcript (Aug 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