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two-earnings-predictions--2026-08-07"/>
    <w:p>
      <w:pPr>
        <w:pStyle w:val="Heading1"/>
      </w:pPr>
      <w:r>
        <w:t xml:space="preserve">TTWO Earnings Predictions — 2026-08-07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FY27 Net Bookings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1.40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FY27 GAAP 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1.49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FY27 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0.12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−</m:t>
              </m:r>
            </m:oMath>
            <w:r>
              <w:t xml:space="preserve">0.19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Net Bookings guide (full year)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8.0</m:t>
              </m:r>
              <m:r>
                <m:rPr>
                  <m:sty m:val="p"/>
                </m:rPr>
                <m:t>−</m:t>
              </m:r>
              <m:r>
                <m:t>8.2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8.6B (FY27)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FY27 Net Bookings guide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1.45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1.50B (Q2 FY27, pre-GTA VI)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GTA VI launch date confidence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Nov 19, 2026 held vs. prior Nov 19, 2026 (FY27 launch)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Recurrent consumer spending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~flat/-3% Q1 vs. cons ~flat (FY27, ~65% of bookings)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The print is soft by design and the FY27</w:t>
            </w:r>
            <w:r>
              <w:t xml:space="preserve"> </w:t>
            </w:r>
            <m:oMath>
              <m:r>
                <m:t>8.0</m:t>
              </m:r>
              <m:r>
                <m:rPr>
                  <m:sty m:val="p"/>
                </m:rPr>
                <m:t>−</m:t>
              </m:r>
              <m:r>
                <m:t>8.2</m:t>
              </m:r>
              <m:r>
                <m:t>B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i</m:t>
              </m:r>
              <m:r>
                <m:t>s</m:t>
              </m:r>
              <m:r>
                <m:t>a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r</m:t>
              </m:r>
              <m:r>
                <m:t>v</m:t>
              </m:r>
              <m:r>
                <m:t>a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b</m:t>
              </m:r>
              <m:r>
                <m:t>e</m:t>
              </m:r>
              <m:r>
                <m:t>l</m:t>
              </m:r>
              <m:r>
                <m:t>o</m:t>
              </m:r>
              <m:r>
                <m:t>w</m:t>
              </m:r>
              <m:r>
                <m:t>t</m:t>
              </m:r>
              <m:r>
                <m:t>h</m:t>
              </m:r>
              <m:r>
                <m:t>e</m:t>
              </m:r>
              <m:r>
                <m:t>S</m:t>
              </m:r>
              <m:r>
                <m:t>t</m:t>
              </m:r>
              <m:r>
                <m:t>r</m:t>
              </m:r>
              <m:r>
                <m:t>e</m:t>
              </m:r>
              <m:r>
                <m:t>e</m:t>
              </m:r>
              <m:sSup>
                <m:e>
                  <m:r>
                    <m:t>t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s</m:t>
              </m:r>
              <m:r>
                <m:t> </m:t>
              </m:r>
            </m:oMath>
            <w:r>
              <w:t xml:space="preserve">8.6B, so out-period estimates barely move — no revision fuel either way. Day-1 pop is relief-driven (GTA VI Nov 19 date holding + qualitative pre-order strength), not a numbers upgrade. With the real catalyst still 3+ months out and the stock already off its ~$258 July peak, the reaction should hold rather than compound or fully fade — drifting sideways as investors wait for Rockstar-controlled GTA VI disclosures.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2026-08-07T00:04:24Z</dcterms:created>
  <dcterms:modified xsi:type="dcterms:W3CDTF">2026-08-07T00:04:24Z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