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Take-Two Interactive (TTWO) before writing the preview. Let me gather recent earnings materials, news, and price data.Note the price series appears capped at 2025-08-07. Let me try to pull more recent prices and read the latest earnings materials (FY26 Q4, reported May 2026) plus the year-ago quarter.Let me pull recent news/analyst commentary on GTA VI and the year-ago Q1 for context.Let me quickly read the pre-order/pricing news for added color before writing.# Take-Two Interactive (TTWO) — Earnings Preview</w:t>
      </w:r>
    </w:p>
    <w:bookmarkStart w:id="9" w:name="X49c9a47a6df3e667ec045fd1ab3007941a01598"/>
    <w:p>
      <w:pPr>
        <w:pStyle w:val="Heading3"/>
      </w:pPr>
      <w:r>
        <w:t xml:space="preserve">Fiscal Q1 2027 (quarter ended June 30, 2026) · Reports after the close Thursday, Aug 7, 2026</w:t>
      </w:r>
    </w:p>
    <w:p>
      <w:r>
        <w:pict>
          <v:rect style="width:0;height:1.5pt" o:hralign="center" o:hrstd="t" o:hr="t"/>
        </w:pict>
      </w:r>
    </w:p>
    <w:bookmarkEnd w:id="9"/>
    <w:bookmarkStart w:id="10" w:name="the-one-sentence-setup"/>
    <w:p>
      <w:pPr>
        <w:pStyle w:val="Heading2"/>
      </w:pPr>
      <w:r>
        <w:t xml:space="preserve">The one-sentence setup</w:t>
      </w:r>
    </w:p>
    <w:p>
      <w:pPr>
        <w:pStyle w:val="FirstParagraph"/>
      </w:pPr>
      <w:r>
        <w:t xml:space="preserve">This is a low-stakes</w:t>
      </w:r>
      <w:r>
        <w:t xml:space="preserve"> </w:t>
      </w:r>
      <w:r>
        <w:rPr>
          <w:i/>
          <w:iCs/>
        </w:rPr>
        <w:t xml:space="preserve">financial</w:t>
      </w:r>
      <w:r>
        <w:t xml:space="preserve"> </w:t>
      </w:r>
      <w:r>
        <w:t xml:space="preserve">print sitting in front of a very high-stakes</w:t>
      </w:r>
      <w:r>
        <w:t xml:space="preserve"> </w:t>
      </w:r>
      <w:r>
        <w:rPr>
          <w:i/>
          <w:iCs/>
        </w:rPr>
        <w:t xml:space="preserve">catalyst</w:t>
      </w:r>
      <w:r>
        <w:t xml:space="preserve">: the November 19, 2026 launch of</w:t>
      </w:r>
      <w:r>
        <w:t xml:space="preserve"> </w:t>
      </w:r>
      <w:r>
        <w:rPr>
          <w:b/>
          <w:bCs/>
        </w:rPr>
        <w:t xml:space="preserve">Grand Theft Auto VI</w:t>
      </w:r>
      <w:r>
        <w:t xml:space="preserve">. The quarter itself is guided to shrink year-over-year and management defers all GTA specifics to Rockstar — so the report is less about the June-quarter numbers and more about (1) whether the full-year framework holds, (2) any read on GTA VI launch confidence/pre-orders, and (3) the marketing-spend ramp now underway.</w:t>
      </w:r>
    </w:p>
    <w:p>
      <w:r>
        <w:pict>
          <v:rect style="width:0;height:1.5pt" o:hralign="center" o:hrstd="t" o:hr="t"/>
        </w:pict>
      </w:r>
    </w:p>
    <w:bookmarkEnd w:id="10"/>
    <w:bookmarkStart w:id="11" w:name="price--positioning-going-in"/>
    <w:p>
      <w:pPr>
        <w:pStyle w:val="Heading2"/>
      </w:pPr>
      <w:r>
        <w:t xml:space="preserve">Price &amp; positioning going in</w:t>
      </w:r>
    </w:p>
    <w:p>
      <w:pPr>
        <w:pStyle w:val="Compact"/>
        <w:numPr>
          <w:ilvl w:val="0"/>
          <w:numId w:val="1001"/>
        </w:numPr>
      </w:pPr>
      <w:r>
        <w:t xml:space="preserve">Stock closed</w:t>
      </w:r>
      <w:r>
        <w:t xml:space="preserve"> </w:t>
      </w:r>
      <w:r>
        <w:rPr>
          <w:b/>
          <w:bCs/>
        </w:rPr>
        <w:t xml:space="preserve">~</w:t>
      </w:r>
      <m:oMath>
        <m:r>
          <m:t>232.51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6</m:t>
        </m:r>
        <m:r>
          <m:rPr>
            <m:sty m:val="p"/>
          </m:rPr>
          <m:t>,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n</m:t>
        </m:r>
        <m:r>
          <m:t>e</m:t>
        </m:r>
        <m:r>
          <m:t>a</m:t>
        </m:r>
        <m:r>
          <m:t>r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t>d</m:t>
        </m:r>
        <m:r>
          <m:t>l</m:t>
        </m:r>
        <m:r>
          <m:t>e</m:t>
        </m:r>
        <m:r>
          <m:t>o</m:t>
        </m:r>
        <m:r>
          <m:t>f</m:t>
        </m:r>
        <m:r>
          <m:t>i</m:t>
        </m:r>
        <m:r>
          <m:t>t</m:t>
        </m:r>
        <m:r>
          <m:t>s</m:t>
        </m:r>
        <m:r>
          <m:t>m</m:t>
        </m:r>
        <m:r>
          <m:t>u</m:t>
        </m:r>
        <m:r>
          <m:t>l</m:t>
        </m:r>
        <m:r>
          <m:t>t</m:t>
        </m:r>
        <m:r>
          <m:t>i</m:t>
        </m:r>
        <m:r>
          <m:rPr>
            <m:sty m:val="p"/>
          </m:rPr>
          <m:t>−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b</m:t>
        </m:r>
        <m:r>
          <m:t>e</m:t>
        </m:r>
        <m:r>
          <m:t>l</m:t>
        </m:r>
        <m:r>
          <m:t>o</m:t>
        </m:r>
        <m:r>
          <m:t>w</m:t>
        </m:r>
        <m:r>
          <m:t>t</m:t>
        </m:r>
        <m:r>
          <m:t>h</m:t>
        </m:r>
        <m:r>
          <m:t>e</m:t>
        </m:r>
        <m:r>
          <m:t> </m:t>
        </m:r>
      </m:oMath>
      <w:r>
        <w:rPr>
          <w:b/>
          <w:bCs/>
        </w:rPr>
        <w:t xml:space="preserve">258 early-July peak</w:t>
      </w:r>
      <w:r>
        <w:t xml:space="preserve"> </w:t>
      </w:r>
      <w:r>
        <w:t xml:space="preserve">it hit on GTA VI pre-order enthusiasm.</w:t>
      </w:r>
    </w:p>
    <w:p>
      <w:pPr>
        <w:pStyle w:val="Compact"/>
        <w:numPr>
          <w:ilvl w:val="0"/>
          <w:numId w:val="1001"/>
        </w:numPr>
      </w:pPr>
      <w:r>
        <w:t xml:space="preserve">Per Barron's, TTWO was</w:t>
      </w:r>
      <w:r>
        <w:t xml:space="preserve"> </w:t>
      </w:r>
      <w:r>
        <w:rPr>
          <w:b/>
          <w:bCs/>
        </w:rPr>
        <w:t xml:space="preserve">down ~6% YTD and roughly flat over the trailing 12 months</w:t>
      </w:r>
      <w:r>
        <w:t xml:space="preserve"> </w:t>
      </w:r>
      <w:r>
        <w:t xml:space="preserve">as of mid-June — i.e., the market has been treating GTA VI as a known catalyst, not yet a realized one.</w:t>
      </w:r>
    </w:p>
    <w:p>
      <w:pPr>
        <w:pStyle w:val="Compact"/>
        <w:numPr>
          <w:ilvl w:val="0"/>
          <w:numId w:val="1001"/>
        </w:numPr>
      </w:pPr>
      <w:r>
        <w:t xml:space="preserve">The June 25 pre-order open (and $79.99 pricing confirmation) sparked a ~5% pop, but the stock has since given most of that back — meaning sentiment is constructive but not euphoric heading into the print.</w:t>
      </w:r>
    </w:p>
    <w:p>
      <w:r>
        <w:pict>
          <v:rect style="width:0;height:1.5pt" o:hralign="center" o:hrstd="t" o:hr="t"/>
        </w:pict>
      </w:r>
    </w:p>
    <w:bookmarkEnd w:id="11"/>
    <w:bookmarkStart w:id="12" w:name="Xb6658ea3824bf75841c33e74fa5b6b6ee2ba93c"/>
    <w:p>
      <w:pPr>
        <w:pStyle w:val="Heading2"/>
      </w:pPr>
      <w:r>
        <w:t xml:space="preserve">What the company guided (from the May 21 FY26 Q4 call)</w:t>
      </w:r>
    </w:p>
    <w:p>
      <w:pPr>
        <w:pStyle w:val="FirstParagraph"/>
      </w:pPr>
      <w:r>
        <w:rPr>
          <w:b/>
          <w:bCs/>
        </w:rPr>
        <w:t xml:space="preserve">Fiscal Q1 2027 (the quarter being reported):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Q1 FY27 Guide</w:t>
            </w:r>
          </w:p>
        </w:tc>
        <w:tc>
          <w:tcPr/>
          <w:p>
            <w:pPr>
              <w:pStyle w:val="Compact"/>
            </w:pPr>
            <w:r>
              <w:t xml:space="preserve">Q1 FY26 Actual</w:t>
            </w:r>
          </w:p>
        </w:tc>
        <w:tc>
          <w:tcPr/>
          <w:p>
            <w:pPr>
              <w:pStyle w:val="Compact"/>
            </w:pPr>
            <w:r>
              <w:t xml:space="preserve">Implied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Bookings</w:t>
            </w:r>
          </w:p>
        </w:tc>
        <w:tc>
          <w:tcPr/>
          <w:p>
            <w:pPr>
              <w:pStyle w:val="Compact"/>
            </w:pPr>
            <w:r>
              <w:t xml:space="preserve">$1.32B – $1.37B</w:t>
            </w:r>
          </w:p>
        </w:tc>
        <w:tc>
          <w:tcPr/>
          <w:p>
            <w:pPr>
              <w:pStyle w:val="Compact"/>
            </w:pPr>
            <w:r>
              <w:t xml:space="preserve">$1.42B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down ~5–6%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net revenue</w:t>
            </w:r>
          </w:p>
        </w:tc>
        <w:tc>
          <w:tcPr/>
          <w:p>
            <w:pPr>
              <w:pStyle w:val="Compact"/>
            </w:pPr>
            <w:r>
              <w:t xml:space="preserve">$1.45B – $1.50B</w:t>
            </w:r>
          </w:p>
        </w:tc>
        <w:tc>
          <w:tcPr/>
          <w:p>
            <w:pPr>
              <w:pStyle w:val="Compact"/>
            </w:pPr>
            <w:r>
              <w:t xml:space="preserve">$1.50B</w:t>
            </w:r>
          </w:p>
        </w:tc>
        <w:tc>
          <w:tcPr/>
          <w:p>
            <w:pPr>
              <w:pStyle w:val="Compact"/>
            </w:pPr>
            <w:r>
              <w:t xml:space="preserve">~flat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expenses</w:t>
            </w:r>
          </w:p>
        </w:tc>
        <w:tc>
          <w:tcPr/>
          <w:p>
            <w:pPr>
              <w:pStyle w:val="Compact"/>
            </w:pPr>
            <w:r>
              <w:t xml:space="preserve">$926M – $936M</w:t>
            </w:r>
          </w:p>
        </w:tc>
        <w:tc>
          <w:tcPr/>
          <w:p>
            <w:pPr>
              <w:pStyle w:val="Compact"/>
            </w:pPr>
            <w:r>
              <w:t xml:space="preserve">$923M</w:t>
            </w:r>
          </w:p>
        </w:tc>
        <w:tc>
          <w:tcPr/>
          <w:p>
            <w:pPr>
              <w:pStyle w:val="Compact"/>
            </w:pPr>
            <w:r>
              <w:t xml:space="preserve">+3% (mgmt basis)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EBITDA</w:t>
            </w:r>
          </w:p>
        </w:tc>
        <w:tc>
          <w:tcPr/>
          <w:p>
            <w:pPr>
              <w:pStyle w:val="Compact"/>
            </w:pPr>
            <w:r>
              <w:t xml:space="preserve">$155M – $179M</w:t>
            </w:r>
          </w:p>
        </w:tc>
        <w:tc>
          <w:tcPr/>
          <w:p>
            <w:pPr>
              <w:pStyle w:val="Compact"/>
            </w:pPr>
            <w:r>
              <w:t xml:space="preserve">$226M</w:t>
            </w:r>
          </w:p>
        </w:tc>
        <w:tc>
          <w:tcPr/>
          <w:p>
            <w:pPr>
              <w:pStyle w:val="Compact"/>
            </w:pPr>
            <w:r>
              <w:t xml:space="preserve">down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</w:pPr>
            <w:r>
              <w:t xml:space="preserve">$(0.23) – $(0.15)</w:t>
            </w:r>
          </w:p>
        </w:tc>
        <w:tc>
          <w:tcPr/>
          <w:p>
            <w:pPr>
              <w:pStyle w:val="Compact"/>
            </w:pPr>
            <w:r>
              <w:t xml:space="preserve">$(0.07)</w:t>
            </w:r>
          </w:p>
        </w:tc>
        <w:tc>
          <w:tcPr/>
          <w:p>
            <w:pPr>
              <w:pStyle w:val="Compact"/>
            </w:pPr>
            <w:r>
              <w:t xml:space="preserve">wider loss</w:t>
            </w:r>
          </w:p>
        </w:tc>
      </w:tr>
    </w:tbl>
    <w:p>
      <w:pPr>
        <w:pStyle w:val="Compact"/>
        <w:numPr>
          <w:ilvl w:val="0"/>
          <w:numId w:val="1002"/>
        </w:numPr>
      </w:pPr>
      <w:r>
        <w:t xml:space="preserve">Management expects</w:t>
      </w:r>
      <w:r>
        <w:t xml:space="preserve"> </w:t>
      </w:r>
      <w:r>
        <w:rPr>
          <w:b/>
          <w:bCs/>
        </w:rPr>
        <w:t xml:space="preserve">recurrent consumer spending down ~3%</w:t>
      </w:r>
      <w:r>
        <w:t xml:space="preserve"> </w:t>
      </w:r>
      <w:r>
        <w:t xml:space="preserve">in the quarter: NBA 2K up high-single-digits, but</w:t>
      </w:r>
      <w:r>
        <w:t xml:space="preserve"> </w:t>
      </w:r>
      <w:r>
        <w:rPr>
          <w:b/>
          <w:bCs/>
        </w:rPr>
        <w:t xml:space="preserve">mobile and the GTA series both down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Largest expected contributors: NBA 2K, the GTA series, Toon Blast, Match Factory!, Empires &amp; Puzzles, Red Dead Redemption, Color Block Jam, Words With Friends, Zynga Poker.</w:t>
      </w:r>
    </w:p>
    <w:p>
      <w:pPr>
        <w:pStyle w:val="FirstParagraph"/>
      </w:pPr>
      <w:r>
        <w:rPr>
          <w:b/>
          <w:bCs/>
        </w:rPr>
        <w:t xml:space="preserve">Full-year FY2027 framework (the number that actually matters):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Net Bookings of</w:t>
      </w:r>
      <w:r>
        <w:rPr>
          <w:b/>
          <w:bCs/>
        </w:rPr>
        <w:t xml:space="preserve"> </w:t>
      </w:r>
      <m:oMath>
        <m:r>
          <m:t>8.0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8.2B (~20% growth)</w:t>
      </w:r>
      <w:r>
        <w:t xml:space="preserve"> </w:t>
      </w:r>
      <w:r>
        <w:t xml:space="preserve">— a record, driven by GTA VI plus portfolio execution.</w:t>
      </w:r>
    </w:p>
    <w:p>
      <w:pPr>
        <w:pStyle w:val="Compact"/>
        <w:numPr>
          <w:ilvl w:val="0"/>
          <w:numId w:val="1003"/>
        </w:numPr>
      </w:pPr>
      <w:r>
        <w:t xml:space="preserve">RCS roughly</w:t>
      </w:r>
      <w:r>
        <w:t xml:space="preserve"> </w:t>
      </w:r>
      <w:r>
        <w:rPr>
          <w:b/>
          <w:bCs/>
        </w:rPr>
        <w:t xml:space="preserve">flat</w:t>
      </w:r>
      <w:r>
        <w:t xml:space="preserve"> </w:t>
      </w:r>
      <w:r>
        <w:t xml:space="preserve">and ~65% of bookings (mix shifts toward frontline as GTA VI hits).</w:t>
      </w:r>
    </w:p>
    <w:p>
      <w:pPr>
        <w:pStyle w:val="Compact"/>
        <w:numPr>
          <w:ilvl w:val="0"/>
          <w:numId w:val="1003"/>
        </w:numPr>
      </w:pPr>
      <w:r>
        <w:t xml:space="preserve">Label mix: ~36% Rockstar / 35% Zynga / 29% 2K.</w:t>
      </w:r>
    </w:p>
    <w:p>
      <w:pPr>
        <w:pStyle w:val="Compact"/>
        <w:numPr>
          <w:ilvl w:val="0"/>
          <w:numId w:val="1003"/>
        </w:numPr>
      </w:pPr>
      <w:r>
        <w:t xml:space="preserve">**Operating cash flow &gt;</w:t>
      </w:r>
      <m:oMath>
        <m:r>
          <m:t>1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s</m:t>
        </m:r>
        <m:r>
          <m:t>t</m:t>
        </m:r>
        <m:r>
          <m:t>o</m:t>
        </m:r>
        <m:r>
          <m:t>r</m:t>
        </m:r>
        <m:r>
          <m:t>e</m:t>
        </m:r>
        <m:r>
          <m:t>a</m:t>
        </m:r>
        <m:r>
          <m:t>c</m:t>
        </m:r>
        <m:r>
          <m:t>h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n</m:t>
        </m:r>
        <m:r>
          <m:t>e</m:t>
        </m:r>
        <m:r>
          <m:t>t</m:t>
        </m:r>
        <m:r>
          <m:t>c</m:t>
        </m:r>
        <m:r>
          <m:t>a</m:t>
        </m:r>
        <m:r>
          <m:t>s</m:t>
        </m:r>
        <m:r>
          <m:t>h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b</m:t>
        </m:r>
        <m:r>
          <m:t>y</m:t>
        </m:r>
        <m:r>
          <m:t>f</m:t>
        </m:r>
        <m:r>
          <m:t>i</m:t>
        </m:r>
        <m:r>
          <m:t>s</m:t>
        </m:r>
        <m:r>
          <m:t>c</m:t>
        </m:r>
        <m:r>
          <m:t>a</m:t>
        </m:r>
        <m:r>
          <m:t>l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−</m:t>
        </m:r>
        <m:r>
          <m:t>e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c</m:t>
        </m:r>
        <m:r>
          <m:t>a</m:t>
        </m:r>
        <m:r>
          <m:t>p</m:t>
        </m:r>
        <m:r>
          <m:t>e</m:t>
        </m:r>
        <m:r>
          <m:t>x</m:t>
        </m:r>
        <m:r>
          <m:t> </m:t>
        </m:r>
      </m:oMath>
      <w:r>
        <w:t xml:space="preserve">200M.</w:t>
      </w:r>
    </w:p>
    <w:p>
      <w:pPr>
        <w:pStyle w:val="Compact"/>
        <w:numPr>
          <w:ilvl w:val="0"/>
          <w:numId w:val="1003"/>
        </w:numPr>
      </w:pPr>
      <w:r>
        <w:t xml:space="preserve">Opex up ~8% on a management basis, with</w:t>
      </w:r>
      <w:r>
        <w:t xml:space="preserve"> </w:t>
      </w:r>
      <w:r>
        <w:rPr>
          <w:b/>
          <w:bCs/>
        </w:rPr>
        <w:t xml:space="preserve">about half of the ~$300M increase tied to GTA VI + mobile marketing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Watch the Street vs. company gap:</w:t>
      </w:r>
      <w:r>
        <w:t xml:space="preserve"> </w:t>
      </w:r>
      <w:r>
        <w:t xml:space="preserve">analysts tracked by FactSet were modeling</w:t>
      </w:r>
      <w:r>
        <w:t xml:space="preserve"> </w:t>
      </w:r>
      <w:r>
        <w:rPr>
          <w:b/>
          <w:bCs/>
        </w:rPr>
        <w:t xml:space="preserve">~$8.6B in FY27 revenue (+27%)</w:t>
      </w:r>
      <w:r>
        <w:t xml:space="preserve"> </w:t>
      </w:r>
      <w:r>
        <w:t xml:space="preserve">— comfortably above Take-Two's own $8.0–8.2B net-bookings guide. Even allowing for the revenue/net-bookings definitional difference, the Street is positioned above the company's stated range, so a simple "reaffirm" may read as conservative.</w:t>
      </w:r>
    </w:p>
    <w:p>
      <w:r>
        <w:pict>
          <v:rect style="width:0;height:1.5pt" o:hralign="center" o:hrstd="t" o:hr="t"/>
        </w:pict>
      </w:r>
    </w:p>
    <w:bookmarkEnd w:id="12"/>
    <w:bookmarkStart w:id="13" w:name="what-actually-matters-in-this-print"/>
    <w:p>
      <w:pPr>
        <w:pStyle w:val="Heading2"/>
      </w:pPr>
      <w:r>
        <w:t xml:space="preserve">What actually matters in this print</w:t>
      </w:r>
    </w:p>
    <w:p>
      <w:pPr>
        <w:pStyle w:val="FirstParagraph"/>
      </w:pPr>
      <w:r>
        <w:rPr>
          <w:b/>
          <w:bCs/>
        </w:rPr>
        <w:t xml:space="preserve">1. GTA VI launch date confidence.</w:t>
      </w:r>
      <w:r>
        <w:t xml:space="preserve"> </w:t>
      </w:r>
      <w:r>
        <w:t xml:space="preserve">This is the whole ballgame. GTA VI's history is a series of slips — originally targeted for fall 2025, then May 26, 2026, and now</w:t>
      </w:r>
      <w:r>
        <w:t xml:space="preserve"> </w:t>
      </w:r>
      <w:r>
        <w:rPr>
          <w:b/>
          <w:bCs/>
        </w:rPr>
        <w:t xml:space="preserve">Nov 19, 2026</w:t>
      </w:r>
      <w:r>
        <w:t xml:space="preserve">. With the date only ~3 months out at the time of this report, any hint of wobble would be the single most damaging outcome; any incremental confidence-building is the biggest positive. Note management's rule:</w:t>
      </w:r>
      <w:r>
        <w:t xml:space="preserve"> </w:t>
      </w:r>
      <w:r>
        <w:rPr>
          <w:b/>
          <w:bCs/>
        </w:rPr>
        <w:t xml:space="preserve">specifics come from Rockstar, not the earnings call</w:t>
      </w:r>
      <w:r>
        <w:t xml:space="preserve">, so expect deflection.</w:t>
      </w:r>
    </w:p>
    <w:p>
      <w:pPr>
        <w:pStyle w:val="BodyText"/>
      </w:pPr>
      <w:r>
        <w:rPr>
          <w:b/>
          <w:bCs/>
        </w:rPr>
        <w:t xml:space="preserve">2. Pre-order signal.</w:t>
      </w:r>
      <w:r>
        <w:t xml:space="preserve"> </w:t>
      </w:r>
      <w:r>
        <w:t xml:space="preserve">Pre-orders opened June 25 at</w:t>
      </w:r>
      <w:r>
        <w:t xml:space="preserve"> </w:t>
      </w:r>
      <w:r>
        <w:rPr>
          <w:b/>
          <w:bCs/>
        </w:rPr>
        <w:t xml:space="preserve">$79.99 standard / $99.99 Ultimate Edition</w:t>
      </w:r>
      <w:r>
        <w:t xml:space="preserve">, digital-only, PS5/Xbox Series X|S only (no PC or prior-gen at launch). Early reads have been described as strong. Any color — even qualitative — on pre-order pace and the $80 price-point/digital-only reception would be a key tell on demand.</w:t>
      </w:r>
    </w:p>
    <w:p>
      <w:pPr>
        <w:pStyle w:val="BodyText"/>
      </w:pPr>
      <w:r>
        <w:rPr>
          <w:b/>
          <w:bCs/>
        </w:rPr>
        <w:t xml:space="preserve">3. GTA Online next-gen details.</w:t>
      </w:r>
      <w:r>
        <w:t xml:space="preserve"> </w:t>
      </w:r>
      <w:r>
        <w:t xml:space="preserve">D.A. Davidson flagged that the</w:t>
      </w:r>
      <w:r>
        <w:t xml:space="preserve"> </w:t>
      </w:r>
      <w:r>
        <w:rPr>
          <w:b/>
          <w:bCs/>
        </w:rPr>
        <w:t xml:space="preserve">lack of detail on the next iteration of GTA Online remains an overhang</w:t>
      </w:r>
      <w:r>
        <w:t xml:space="preserve"> </w:t>
      </w:r>
      <w:r>
        <w:t xml:space="preserve">— it's the multi-year monetization engine, not just the frontline unit sale. Investors want to understand the online/live-service model that follows the launch.</w:t>
      </w:r>
    </w:p>
    <w:p>
      <w:pPr>
        <w:pStyle w:val="BodyText"/>
      </w:pPr>
      <w:r>
        <w:rPr>
          <w:b/>
          <w:bCs/>
        </w:rPr>
        <w:t xml:space="preserve">4. Full-year reaffirm (or raise).</w:t>
      </w:r>
      <w:r>
        <w:t xml:space="preserve"> </w:t>
      </w:r>
      <w:r>
        <w:t xml:space="preserve">Take-Two has a habit of beating: FY26 came in at a record $6.72B (+19%), Q4 beat the high end, and last year's Q1 beat and prompted a full-year raise. A beat-and-reaffirm is the base case; the question is whether they nudge the $8.0–8.2B range given Street's higher bar.</w:t>
      </w:r>
    </w:p>
    <w:p>
      <w:r>
        <w:pict>
          <v:rect style="width:0;height:1.5pt" o:hralign="center" o:hrstd="t" o:hr="t"/>
        </w:pict>
      </w:r>
    </w:p>
    <w:bookmarkEnd w:id="13"/>
    <w:bookmarkStart w:id="14" w:name="core-business-trends-to-monitor"/>
    <w:p>
      <w:pPr>
        <w:pStyle w:val="Heading2"/>
      </w:pPr>
      <w:r>
        <w:t xml:space="preserve">Core business trends to monitor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NBA 2K:</w:t>
      </w:r>
      <w:r>
        <w:t xml:space="preserve"> </w:t>
      </w:r>
      <w:r>
        <w:t xml:space="preserve">FY26 was a record (RCS +30% full year), but Q4 growth</w:t>
      </w:r>
      <w:r>
        <w:t xml:space="preserve"> </w:t>
      </w:r>
      <w:r>
        <w:rPr>
          <w:i/>
          <w:iCs/>
        </w:rPr>
        <w:t xml:space="preserve">moderated</w:t>
      </w:r>
      <w:r>
        <w:t xml:space="preserve"> </w:t>
      </w:r>
      <w:r>
        <w:t xml:space="preserve">as heavy early-year spending pulled forward engagement. FY27 guide assumes only high-single-digit NBA 2K RCS.</w:t>
      </w:r>
      <w:r>
        <w:t xml:space="preserve"> </w:t>
      </w:r>
      <w:r>
        <w:rPr>
          <w:b/>
          <w:bCs/>
        </w:rPr>
        <w:t xml:space="preserve">NBA 2K27 launches September 2026</w:t>
      </w:r>
      <w:r>
        <w:t xml:space="preserve"> </w:t>
      </w:r>
      <w:r>
        <w:t xml:space="preserve">(right after this print) — watch for setup commentary and the nascent</w:t>
      </w:r>
      <w:r>
        <w:t xml:space="preserve"> </w:t>
      </w:r>
      <w:r>
        <w:rPr>
          <w:b/>
          <w:bCs/>
        </w:rPr>
        <w:t xml:space="preserve">college basketball</w:t>
      </w:r>
      <w:r>
        <w:t xml:space="preserve"> </w:t>
      </w:r>
      <w:r>
        <w:t xml:space="preserve">expansion (16 schools in 2K26 as "a taste of what's to come").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Mobile/Zynga:</w:t>
      </w:r>
      <w:r>
        <w:t xml:space="preserve"> </w:t>
      </w:r>
      <w:r>
        <w:t xml:space="preserve">Guided</w:t>
      </w:r>
      <w:r>
        <w:t xml:space="preserve"> </w:t>
      </w:r>
      <w:r>
        <w:rPr>
          <w:b/>
          <w:bCs/>
        </w:rPr>
        <w:t xml:space="preserve">down</w:t>
      </w:r>
      <w:r>
        <w:t xml:space="preserve"> </w:t>
      </w:r>
      <w:r>
        <w:t xml:space="preserve">in FY27 as Color Block Jam laps its breakout year and mature titles (Zynga's) are assumed to moderate. But Toon Blast still grew ~25% and Match Factory! keeps surprising — mobile is the most common source of upside/downside vs. plan.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Catalog resilience:</w:t>
      </w:r>
      <w:r>
        <w:t xml:space="preserve"> </w:t>
      </w:r>
      <w:r>
        <w:t xml:space="preserve">GTA V at ~230M units, Red Dead Redemption 2 at ~85M — these keep outperforming and underpin the "sustain a higher base" thesis.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D2C &amp; margins:</w:t>
      </w:r>
      <w:r>
        <w:t xml:space="preserve"> </w:t>
      </w:r>
      <w:r>
        <w:t xml:space="preserve">Direct-to-consumer mix continues to grow and helps margins; management framed FY27 as reaching a "new level of scale" with opex leverage as the biggest margin lever over time.</w:t>
      </w:r>
    </w:p>
    <w:p>
      <w:r>
        <w:pict>
          <v:rect style="width:0;height:1.5pt" o:hralign="center" o:hrstd="t" o:hr="t"/>
        </w:pict>
      </w:r>
    </w:p>
    <w:bookmarkEnd w:id="14"/>
    <w:bookmarkStart w:id="15" w:name="balance-sheet--capital-allocation"/>
    <w:p>
      <w:pPr>
        <w:pStyle w:val="Heading2"/>
      </w:pPr>
      <w:r>
        <w:t xml:space="preserve">Balance sheet &amp; capital allocation</w:t>
      </w:r>
    </w:p>
    <w:p>
      <w:pPr>
        <w:pStyle w:val="Compact"/>
        <w:numPr>
          <w:ilvl w:val="0"/>
          <w:numId w:val="1005"/>
        </w:numPr>
      </w:pPr>
      <w:r>
        <w:t xml:space="preserve">Exited FY26 with</w:t>
      </w:r>
      <w:r>
        <w:t xml:space="preserve"> </w:t>
      </w:r>
      <w:r>
        <w:rPr>
          <w:b/>
          <w:bCs/>
        </w:rPr>
        <w:t xml:space="preserve">~</w:t>
      </w:r>
      <m:oMath>
        <m:r>
          <m:t>1.55</m:t>
        </m:r>
        <m:r>
          <m:t>B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+</m:t>
        </m:r>
        <m:r>
          <m:t> </m:t>
        </m:r>
      </m:oMath>
      <w:r>
        <w:rPr>
          <w:b/>
          <w:bCs/>
        </w:rPr>
        <w:t xml:space="preserve">0.44B short-term investments</w:t>
      </w:r>
      <w:r>
        <w:t xml:space="preserve">, having repaid</w:t>
      </w:r>
      <w:r>
        <w:t xml:space="preserve"> </w:t>
      </w:r>
      <m:oMath>
        <m:r>
          <m:t>1.15</m:t>
        </m:r>
        <m:r>
          <m:t>B</m:t>
        </m:r>
        <m:r>
          <m:t>o</m:t>
        </m:r>
        <m:r>
          <m:t>f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(</m:t>
        </m:r>
        <m:r>
          <m:t>p</m:t>
        </m:r>
        <m:r>
          <m:t>a</m:t>
        </m:r>
        <m:r>
          <m:t>r</m:t>
        </m:r>
        <m:r>
          <m:t>t</m:t>
        </m:r>
        <m:r>
          <m:t>l</m:t>
        </m:r>
        <m:r>
          <m:t>y</m:t>
        </m:r>
        <m:r>
          <m:t>f</m:t>
        </m:r>
        <m:r>
          <m:t>u</m:t>
        </m:r>
        <m:r>
          <m:t>n</m:t>
        </m:r>
        <m:r>
          <m:t>d</m:t>
        </m:r>
        <m:r>
          <m:t>e</m:t>
        </m:r>
        <m:r>
          <m:t>d</m:t>
        </m:r>
        <m:r>
          <m:t>b</m:t>
        </m:r>
        <m:r>
          <m:t>y</m:t>
        </m:r>
        <m:r>
          <m:t>a</m:t>
        </m:r>
        <m:r>
          <m:t> </m:t>
        </m:r>
      </m:oMath>
      <w:r>
        <w:t xml:space="preserve">1.25B equity issuance).</w:t>
      </w:r>
    </w:p>
    <w:p>
      <w:pPr>
        <w:pStyle w:val="Compact"/>
        <w:numPr>
          <w:ilvl w:val="0"/>
          <w:numId w:val="1005"/>
        </w:numPr>
      </w:pPr>
      <w:r>
        <w:t xml:space="preserve">FY27 should generate **&gt;</w:t>
      </w:r>
      <w:r>
        <w:t xml:space="preserve">$1B operating cash flow** and turn **net cash positive** — which reopens the capital-return conversation. Management reiterated buybacks are opportunistic "at deep value" (last one at ~$</w:t>
      </w:r>
      <w:r>
        <w:t xml:space="preserve">158), so don't expect an aggressive program near current levels, but the optionality is building alongside continued appetite for accretive M&amp;A.</w:t>
      </w:r>
    </w:p>
    <w:p>
      <w:r>
        <w:pict>
          <v:rect style="width:0;height:1.5pt" o:hralign="center" o:hrstd="t" o:hr="t"/>
        </w:pict>
      </w:r>
    </w:p>
    <w:bookmarkEnd w:id="15"/>
    <w:bookmarkStart w:id="16" w:name="key-risks--what-could-go-wrong"/>
    <w:p>
      <w:pPr>
        <w:pStyle w:val="Heading2"/>
      </w:pPr>
      <w:r>
        <w:t xml:space="preserve">Key risks / what could go wrong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Another GTA VI delay</w:t>
      </w:r>
      <w:r>
        <w:t xml:space="preserve"> </w:t>
      </w:r>
      <w:r>
        <w:t xml:space="preserve">— the dominant risk; would reset the entire FY27 (and possibly FY28) narrative.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$80 price + digital-only, current-gen-only</w:t>
      </w:r>
      <w:r>
        <w:t xml:space="preserve"> </w:t>
      </w:r>
      <w:r>
        <w:t xml:space="preserve">launch could cap the addressable base vs. prior GTA cycles (console installed base concerns raised by analysts).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Mobile deceleration</w:t>
      </w:r>
      <w:r>
        <w:t xml:space="preserve"> </w:t>
      </w:r>
      <w:r>
        <w:t xml:space="preserve">running deeper than the already-conservative "down" guide.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Consumer/macro softness</w:t>
      </w:r>
      <w:r>
        <w:t xml:space="preserve"> </w:t>
      </w:r>
      <w:r>
        <w:t xml:space="preserve">feeding into mobile UA economics.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GTA Online monetization uncertainty</w:t>
      </w:r>
      <w:r>
        <w:t xml:space="preserve"> </w:t>
      </w:r>
      <w:r>
        <w:t xml:space="preserve">as an ongoing valuation overhang.</w:t>
      </w:r>
    </w:p>
    <w:p>
      <w:r>
        <w:pict>
          <v:rect style="width:0;height:1.5pt" o:hralign="center" o:hrstd="t" o:hr="t"/>
        </w:pict>
      </w:r>
    </w:p>
    <w:bookmarkEnd w:id="16"/>
    <w:bookmarkStart w:id="1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Expect a</w:t>
      </w:r>
      <w:r>
        <w:t xml:space="preserve"> </w:t>
      </w:r>
      <w:r>
        <w:rPr>
          <w:b/>
          <w:bCs/>
        </w:rPr>
        <w:t xml:space="preserve">soft-looking headline quarter that is designed to be soft</w:t>
      </w:r>
      <w:r>
        <w:t xml:space="preserve"> </w:t>
      </w:r>
      <w:r>
        <w:t xml:space="preserve">(net bookings down ~5–6%, a GAAP loss) — and a market reaction driven almost entirely by three things:</w:t>
      </w:r>
      <w:r>
        <w:t xml:space="preserve"> </w:t>
      </w:r>
      <w:r>
        <w:rPr>
          <w:b/>
          <w:bCs/>
        </w:rPr>
        <w:t xml:space="preserve">the GTA VI date holding at Nov 19, any pre-order/demand color, and whether the</w:t>
      </w:r>
      <w:r>
        <w:rPr>
          <w:b/>
          <w:bCs/>
        </w:rPr>
        <w:t xml:space="preserve"> </w:t>
      </w:r>
      <m:oMath>
        <m:r>
          <m:t>8.0</m:t>
        </m:r>
        <m:r>
          <m:rPr>
            <m:sty m:val="p"/>
          </m:rPr>
          <m:t>–</m:t>
        </m:r>
        <m:r>
          <m:t>8.2</m:t>
        </m:r>
        <m:r>
          <m:t>B</m:t>
        </m:r>
        <m:r>
          <m:t>F</m:t>
        </m:r>
        <m:r>
          <m:t>Y</m:t>
        </m:r>
        <m:r>
          <m:t>27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i</m:t>
        </m:r>
        <m:r>
          <m:t>s</m:t>
        </m:r>
        <m:r>
          <m:t>r</m:t>
        </m:r>
        <m:r>
          <m:t>e</m:t>
        </m:r>
        <m:r>
          <m:t>a</m:t>
        </m:r>
        <m:r>
          <m:t>f</m:t>
        </m:r>
        <m:r>
          <m:t>f</m:t>
        </m:r>
        <m:r>
          <m:t>i</m:t>
        </m:r>
        <m:r>
          <m:t>r</m:t>
        </m:r>
        <m:r>
          <m:t>m</m:t>
        </m:r>
        <m:r>
          <m:t>e</m:t>
        </m:r>
        <m:r>
          <m:t>d</m:t>
        </m:r>
        <m:r>
          <m:t>o</m:t>
        </m:r>
        <m:r>
          <m:t>r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t>d</m:t>
        </m:r>
        <m:r>
          <m:t>t</m:t>
        </m:r>
        <m:r>
          <m:t>o</m:t>
        </m:r>
        <m:r>
          <m:t>w</m:t>
        </m:r>
        <m:r>
          <m:t>a</m:t>
        </m:r>
        <m:r>
          <m:t>r</m:t>
        </m:r>
        <m:r>
          <m:t>d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r</m:t>
        </m:r>
        <m:r>
          <m:t>e</m:t>
        </m:r>
        <m:r>
          <m:t>e</m:t>
        </m:r>
        <m:sSup>
          <m:e>
            <m:r>
              <m:t>t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 </m:t>
        </m:r>
      </m:oMath>
      <w:r>
        <w:rPr>
          <w:b/>
          <w:bCs/>
        </w:rPr>
        <w:t xml:space="preserve">8.6B.</w:t>
      </w:r>
      <w:r>
        <w:t xml:space="preserve"> </w:t>
      </w:r>
      <w:r>
        <w:t xml:space="preserve">Given Take-Two's recent beat-and-raise cadence, the base case is a modest Q1 beat plus a maintained full-year outlook. The asymmetry is in the commentary, not the print: reassurance on the launch and live-service model is the upside; even a whiff of slippage is the outsized downside.</w:t>
      </w:r>
    </w:p>
    <w:p>
      <w:pPr>
        <w:pStyle w:val="BodyText"/>
      </w:pPr>
      <w:r>
        <w:rPr>
          <w:i/>
          <w:iCs/>
        </w:rPr>
        <w:t xml:space="preserve">Note: Rockstar controls all GTA product/marketing disclosures, so management will likely steer detailed GTA VI questions off the call — temper expectations for hard launch metrics.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2026-08-07T00:04:24Z</dcterms:created>
  <dcterms:modified xsi:type="dcterms:W3CDTF">2026-08-07T00:04:24Z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